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宋体" w:hAnsi="宋体" w:eastAsia="宋体" w:cs="宋体"/>
          <w:b/>
          <w:bCs/>
          <w:kern w:val="36"/>
          <w:sz w:val="44"/>
          <w:szCs w:val="44"/>
        </w:rPr>
      </w:pPr>
      <w:r>
        <w:rPr>
          <w:rFonts w:hint="eastAsia" w:ascii="宋体" w:hAnsi="宋体" w:eastAsia="宋体" w:cs="宋体"/>
          <w:b/>
          <w:bCs/>
          <w:kern w:val="36"/>
          <w:sz w:val="44"/>
          <w:szCs w:val="44"/>
        </w:rPr>
        <w:t>关于</w:t>
      </w:r>
      <w:r>
        <w:rPr>
          <w:rFonts w:hint="eastAsia" w:ascii="宋体" w:hAnsi="宋体" w:eastAsia="宋体" w:cs="宋体"/>
          <w:b/>
          <w:bCs/>
          <w:kern w:val="36"/>
          <w:sz w:val="44"/>
          <w:szCs w:val="44"/>
          <w:lang w:val="en-US" w:eastAsia="zh-CN"/>
        </w:rPr>
        <w:t>2022年</w:t>
      </w:r>
      <w:r>
        <w:rPr>
          <w:rFonts w:hint="eastAsia" w:ascii="宋体" w:hAnsi="宋体" w:eastAsia="宋体" w:cs="宋体"/>
          <w:b/>
          <w:bCs/>
          <w:kern w:val="36"/>
          <w:sz w:val="44"/>
          <w:szCs w:val="44"/>
        </w:rPr>
        <w:t>“工惠贷”运行情况分析的汇报</w:t>
      </w:r>
    </w:p>
    <w:p>
      <w:pPr>
        <w:widowControl/>
        <w:ind w:firstLine="640" w:firstLineChars="200"/>
        <w:jc w:val="left"/>
        <w:outlineLvl w:val="0"/>
        <w:rPr>
          <w:rFonts w:ascii="仿宋" w:hAnsi="仿宋" w:eastAsia="仿宋"/>
          <w:sz w:val="32"/>
          <w:szCs w:val="32"/>
        </w:rPr>
      </w:pPr>
      <w:r>
        <w:rPr>
          <w:rFonts w:hint="eastAsia" w:ascii="仿宋" w:hAnsi="仿宋" w:eastAsia="仿宋" w:cs="宋体"/>
          <w:color w:val="333333"/>
          <w:kern w:val="0"/>
          <w:sz w:val="32"/>
          <w:szCs w:val="32"/>
        </w:rPr>
        <w:t>徐州市总工会职工创新创业</w:t>
      </w:r>
      <w:r>
        <w:rPr>
          <w:rFonts w:ascii="仿宋" w:hAnsi="仿宋" w:eastAsia="仿宋"/>
          <w:sz w:val="32"/>
          <w:szCs w:val="32"/>
        </w:rPr>
        <w:t xml:space="preserve"> “工惠贷”</w:t>
      </w:r>
      <w:r>
        <w:rPr>
          <w:rFonts w:hint="eastAsia" w:ascii="仿宋" w:hAnsi="仿宋" w:eastAsia="仿宋"/>
          <w:sz w:val="32"/>
          <w:szCs w:val="32"/>
        </w:rPr>
        <w:t>服务</w:t>
      </w:r>
      <w:r>
        <w:rPr>
          <w:rFonts w:ascii="仿宋" w:hAnsi="仿宋" w:eastAsia="仿宋"/>
          <w:sz w:val="32"/>
          <w:szCs w:val="32"/>
        </w:rPr>
        <w:t>项目始终坚持以离岗创业或产业结构优化调整企业下岗创业职工、中小企业为主要服务对象，逐年加大放贷及担保力度，覆盖面日益扩大，</w:t>
      </w:r>
      <w:r>
        <w:rPr>
          <w:rFonts w:hint="eastAsia" w:ascii="仿宋" w:hAnsi="仿宋" w:eastAsia="仿宋"/>
          <w:sz w:val="32"/>
          <w:szCs w:val="32"/>
        </w:rPr>
        <w:t>成为</w:t>
      </w:r>
      <w:r>
        <w:rPr>
          <w:rFonts w:hint="eastAsia" w:ascii="仿宋" w:hAnsi="仿宋" w:eastAsia="仿宋" w:cs="宋体"/>
          <w:color w:val="333333"/>
          <w:kern w:val="0"/>
          <w:sz w:val="32"/>
          <w:szCs w:val="32"/>
        </w:rPr>
        <w:t>让职工得实惠、普受惠、长受惠的一项民心工程，也是市总工会工作围绕发展中心、服务民生大局的重要举措，</w:t>
      </w:r>
      <w:r>
        <w:rPr>
          <w:rFonts w:ascii="仿宋" w:hAnsi="仿宋" w:eastAsia="仿宋"/>
          <w:sz w:val="32"/>
          <w:szCs w:val="32"/>
        </w:rPr>
        <w:t>受到了职工和小微企业广泛欢迎。</w:t>
      </w:r>
      <w:r>
        <w:rPr>
          <w:rFonts w:hint="eastAsia" w:ascii="仿宋" w:hAnsi="仿宋" w:eastAsia="仿宋" w:cs="宋体"/>
          <w:color w:val="333333"/>
          <w:kern w:val="0"/>
          <w:sz w:val="32"/>
          <w:szCs w:val="32"/>
        </w:rPr>
        <w:t>经过近</w:t>
      </w:r>
      <w:r>
        <w:rPr>
          <w:rFonts w:hint="eastAsia" w:ascii="仿宋" w:hAnsi="仿宋" w:eastAsia="仿宋" w:cs="宋体"/>
          <w:color w:val="333333"/>
          <w:kern w:val="0"/>
          <w:sz w:val="32"/>
          <w:szCs w:val="32"/>
          <w:lang w:val="en-US" w:eastAsia="zh-CN"/>
        </w:rPr>
        <w:t>4</w:t>
      </w:r>
      <w:r>
        <w:rPr>
          <w:rFonts w:hint="eastAsia" w:ascii="仿宋" w:hAnsi="仿宋" w:eastAsia="仿宋" w:cs="宋体"/>
          <w:color w:val="333333"/>
          <w:kern w:val="0"/>
          <w:sz w:val="32"/>
          <w:szCs w:val="32"/>
        </w:rPr>
        <w:t>年的发展，已形成了长效的工作机制和良好的运行态势，</w:t>
      </w:r>
      <w:r>
        <w:rPr>
          <w:rFonts w:ascii="仿宋" w:hAnsi="仿宋" w:eastAsia="仿宋"/>
          <w:sz w:val="32"/>
          <w:szCs w:val="32"/>
        </w:rPr>
        <w:t>2019年实施当年即被评为徐州营商环境提升年最佳案例，2020年、2021年</w:t>
      </w:r>
      <w:r>
        <w:rPr>
          <w:rFonts w:hint="eastAsia" w:ascii="仿宋" w:hAnsi="仿宋" w:eastAsia="仿宋"/>
          <w:sz w:val="32"/>
          <w:szCs w:val="32"/>
          <w:lang w:eastAsia="zh-CN"/>
        </w:rPr>
        <w:t>、</w:t>
      </w:r>
      <w:r>
        <w:rPr>
          <w:rFonts w:hint="eastAsia" w:ascii="仿宋" w:hAnsi="仿宋" w:eastAsia="仿宋"/>
          <w:sz w:val="32"/>
          <w:szCs w:val="32"/>
          <w:lang w:val="en-US" w:eastAsia="zh-CN"/>
        </w:rPr>
        <w:t>2022年</w:t>
      </w:r>
      <w:r>
        <w:rPr>
          <w:rFonts w:ascii="仿宋" w:hAnsi="仿宋" w:eastAsia="仿宋"/>
          <w:sz w:val="32"/>
          <w:szCs w:val="32"/>
        </w:rPr>
        <w:t>连续</w:t>
      </w:r>
      <w:r>
        <w:rPr>
          <w:rFonts w:hint="eastAsia" w:ascii="仿宋" w:hAnsi="仿宋" w:eastAsia="仿宋"/>
          <w:sz w:val="32"/>
          <w:szCs w:val="32"/>
          <w:lang w:val="en-US" w:eastAsia="zh-CN"/>
        </w:rPr>
        <w:t>三</w:t>
      </w:r>
      <w:r>
        <w:rPr>
          <w:rFonts w:ascii="仿宋" w:hAnsi="仿宋" w:eastAsia="仿宋"/>
          <w:sz w:val="32"/>
          <w:szCs w:val="32"/>
        </w:rPr>
        <w:t>年被纳入市“为民办实事”工程，多次受到市委和省总主要领导批示肯定，成为我市工会促进创业就业的新品牌，走在了全省工会前列。工人日报、新华日报、徐州日报、徐州广播电视台、江苏工人报等省市以上媒体广泛作了宣</w:t>
      </w:r>
      <w:r>
        <w:rPr>
          <w:rFonts w:hint="eastAsia" w:ascii="仿宋" w:hAnsi="仿宋" w:eastAsia="仿宋"/>
          <w:sz w:val="32"/>
          <w:szCs w:val="32"/>
        </w:rPr>
        <w:t>传</w:t>
      </w:r>
      <w:r>
        <w:rPr>
          <w:rFonts w:ascii="仿宋" w:hAnsi="仿宋" w:eastAsia="仿宋"/>
          <w:sz w:val="32"/>
          <w:szCs w:val="32"/>
        </w:rPr>
        <w:t>报道。</w:t>
      </w:r>
    </w:p>
    <w:p>
      <w:pPr>
        <w:widowControl/>
        <w:ind w:firstLine="643" w:firstLineChars="200"/>
        <w:jc w:val="left"/>
        <w:outlineLvl w:val="0"/>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一、</w:t>
      </w:r>
      <w:r>
        <w:rPr>
          <w:rFonts w:hint="eastAsia" w:ascii="黑体" w:hAnsi="黑体" w:eastAsia="黑体" w:cs="黑体"/>
          <w:color w:val="333333"/>
          <w:kern w:val="0"/>
          <w:sz w:val="32"/>
          <w:szCs w:val="32"/>
        </w:rPr>
        <w:t>基本现状</w:t>
      </w:r>
    </w:p>
    <w:p>
      <w:pPr>
        <w:ind w:firstLine="320" w:firstLineChars="100"/>
        <w:rPr>
          <w:rFonts w:ascii="仿宋" w:hAnsi="仿宋" w:eastAsia="仿宋"/>
          <w:sz w:val="32"/>
          <w:szCs w:val="32"/>
        </w:rPr>
      </w:pPr>
      <w:r>
        <w:rPr>
          <w:rFonts w:hint="eastAsia" w:ascii="仿宋" w:hAnsi="仿宋" w:eastAsia="仿宋" w:cs="仿宋"/>
          <w:b w:val="0"/>
          <w:bCs w:val="0"/>
          <w:color w:val="4B4B4B"/>
          <w:sz w:val="32"/>
          <w:szCs w:val="32"/>
          <w:lang w:val="en-US" w:eastAsia="zh-CN"/>
        </w:rPr>
        <w:t>2022年，徐州市</w:t>
      </w:r>
      <w:r>
        <w:rPr>
          <w:rFonts w:hint="eastAsia" w:ascii="仿宋" w:hAnsi="仿宋" w:eastAsia="仿宋" w:cs="仿宋"/>
          <w:b w:val="0"/>
          <w:bCs w:val="0"/>
          <w:color w:val="4B4B4B"/>
          <w:sz w:val="32"/>
          <w:szCs w:val="32"/>
          <w:lang w:eastAsia="zh-CN"/>
        </w:rPr>
        <w:t>“</w:t>
      </w:r>
      <w:r>
        <w:rPr>
          <w:rFonts w:hint="eastAsia" w:ascii="仿宋" w:hAnsi="仿宋" w:eastAsia="仿宋" w:cs="仿宋"/>
          <w:b w:val="0"/>
          <w:bCs w:val="0"/>
          <w:color w:val="4B4B4B"/>
          <w:sz w:val="32"/>
          <w:szCs w:val="32"/>
          <w:lang w:val="en-US" w:eastAsia="zh-CN"/>
        </w:rPr>
        <w:t>工惠贷”职工创业创新贷款项目共向</w:t>
      </w:r>
      <w:r>
        <w:rPr>
          <w:rFonts w:hint="eastAsia" w:ascii="仿宋" w:hAnsi="仿宋" w:eastAsia="仿宋" w:cs="仿宋"/>
          <w:sz w:val="32"/>
          <w:szCs w:val="32"/>
          <w:lang w:val="en-US" w:eastAsia="zh-CN"/>
        </w:rPr>
        <w:t>316家中小企业、创业职工发放贷款15038万元（其中市</w:t>
      </w:r>
      <w:r>
        <w:rPr>
          <w:rFonts w:hint="eastAsia" w:ascii="仿宋" w:hAnsi="仿宋" w:eastAsia="仿宋" w:cs="仿宋"/>
          <w:sz w:val="32"/>
          <w:szCs w:val="32"/>
        </w:rPr>
        <w:t>本级完成1</w:t>
      </w:r>
      <w:r>
        <w:rPr>
          <w:rFonts w:hint="eastAsia" w:ascii="仿宋" w:hAnsi="仿宋" w:eastAsia="仿宋" w:cs="仿宋"/>
          <w:sz w:val="32"/>
          <w:szCs w:val="32"/>
          <w:lang w:val="en-US" w:eastAsia="zh-CN"/>
        </w:rPr>
        <w:t>0970</w:t>
      </w:r>
      <w:r>
        <w:rPr>
          <w:rFonts w:hint="eastAsia" w:ascii="仿宋" w:hAnsi="仿宋" w:eastAsia="仿宋" w:cs="仿宋"/>
          <w:sz w:val="32"/>
          <w:szCs w:val="32"/>
        </w:rPr>
        <w:t>万元，</w:t>
      </w:r>
      <w:r>
        <w:rPr>
          <w:rFonts w:hint="eastAsia" w:ascii="仿宋" w:hAnsi="仿宋" w:eastAsia="仿宋" w:cs="仿宋"/>
          <w:sz w:val="32"/>
          <w:szCs w:val="32"/>
          <w:lang w:val="en-US" w:eastAsia="zh-CN"/>
        </w:rPr>
        <w:t>7</w:t>
      </w:r>
      <w:r>
        <w:rPr>
          <w:rFonts w:hint="eastAsia" w:ascii="仿宋" w:hAnsi="仿宋" w:eastAsia="仿宋" w:cs="仿宋"/>
          <w:sz w:val="32"/>
          <w:szCs w:val="32"/>
        </w:rPr>
        <w:t>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rPr>
        <w:t>区完成</w:t>
      </w:r>
      <w:r>
        <w:rPr>
          <w:rFonts w:hint="eastAsia" w:ascii="仿宋" w:hAnsi="仿宋" w:eastAsia="仿宋" w:cs="仿宋"/>
          <w:sz w:val="32"/>
          <w:szCs w:val="32"/>
          <w:lang w:val="en-US" w:eastAsia="zh-CN"/>
        </w:rPr>
        <w:t>4068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b w:val="0"/>
          <w:bCs w:val="0"/>
          <w:color w:val="4B4B4B"/>
          <w:sz w:val="32"/>
          <w:szCs w:val="32"/>
        </w:rPr>
        <w:t>其中：铜山1</w:t>
      </w:r>
      <w:r>
        <w:rPr>
          <w:rFonts w:hint="eastAsia" w:ascii="仿宋" w:hAnsi="仿宋" w:eastAsia="仿宋" w:cs="仿宋"/>
          <w:b w:val="0"/>
          <w:bCs w:val="0"/>
          <w:color w:val="4B4B4B"/>
          <w:sz w:val="32"/>
          <w:szCs w:val="32"/>
          <w:lang w:val="en-US" w:eastAsia="zh-CN"/>
        </w:rPr>
        <w:t>1</w:t>
      </w:r>
      <w:r>
        <w:rPr>
          <w:rFonts w:hint="eastAsia" w:ascii="仿宋" w:hAnsi="仿宋" w:eastAsia="仿宋" w:cs="仿宋"/>
          <w:b w:val="0"/>
          <w:bCs w:val="0"/>
          <w:color w:val="4B4B4B"/>
          <w:sz w:val="32"/>
          <w:szCs w:val="32"/>
        </w:rPr>
        <w:t>50万，贾汪</w:t>
      </w:r>
      <w:r>
        <w:rPr>
          <w:rFonts w:hint="eastAsia" w:ascii="仿宋" w:hAnsi="仿宋" w:eastAsia="仿宋" w:cs="仿宋"/>
          <w:b w:val="0"/>
          <w:bCs w:val="0"/>
          <w:color w:val="4B4B4B"/>
          <w:sz w:val="32"/>
          <w:szCs w:val="32"/>
          <w:lang w:val="en-US" w:eastAsia="zh-CN"/>
        </w:rPr>
        <w:t>763</w:t>
      </w:r>
      <w:r>
        <w:rPr>
          <w:rFonts w:hint="eastAsia" w:ascii="仿宋" w:hAnsi="仿宋" w:eastAsia="仿宋" w:cs="仿宋"/>
          <w:b w:val="0"/>
          <w:bCs w:val="0"/>
          <w:color w:val="4B4B4B"/>
          <w:sz w:val="32"/>
          <w:szCs w:val="32"/>
        </w:rPr>
        <w:t>万，丰县</w:t>
      </w:r>
      <w:r>
        <w:rPr>
          <w:rFonts w:hint="eastAsia" w:ascii="仿宋" w:hAnsi="仿宋" w:eastAsia="仿宋" w:cs="仿宋"/>
          <w:b w:val="0"/>
          <w:bCs w:val="0"/>
          <w:color w:val="4B4B4B"/>
          <w:sz w:val="32"/>
          <w:szCs w:val="32"/>
          <w:lang w:val="en-US" w:eastAsia="zh-CN"/>
        </w:rPr>
        <w:t>365</w:t>
      </w:r>
      <w:r>
        <w:rPr>
          <w:rFonts w:hint="eastAsia" w:ascii="仿宋" w:hAnsi="仿宋" w:eastAsia="仿宋" w:cs="仿宋"/>
          <w:b w:val="0"/>
          <w:bCs w:val="0"/>
          <w:color w:val="4B4B4B"/>
          <w:sz w:val="32"/>
          <w:szCs w:val="32"/>
        </w:rPr>
        <w:t>万，沛县</w:t>
      </w:r>
      <w:r>
        <w:rPr>
          <w:rFonts w:hint="eastAsia" w:ascii="仿宋" w:hAnsi="仿宋" w:eastAsia="仿宋" w:cs="仿宋"/>
          <w:b w:val="0"/>
          <w:bCs w:val="0"/>
          <w:color w:val="4B4B4B"/>
          <w:sz w:val="32"/>
          <w:szCs w:val="32"/>
          <w:lang w:val="en-US" w:eastAsia="zh-CN"/>
        </w:rPr>
        <w:t>310</w:t>
      </w:r>
      <w:r>
        <w:rPr>
          <w:rFonts w:hint="eastAsia" w:ascii="仿宋" w:hAnsi="仿宋" w:eastAsia="仿宋" w:cs="仿宋"/>
          <w:b w:val="0"/>
          <w:bCs w:val="0"/>
          <w:color w:val="4B4B4B"/>
          <w:sz w:val="32"/>
          <w:szCs w:val="32"/>
        </w:rPr>
        <w:t>万，邳州</w:t>
      </w:r>
      <w:r>
        <w:rPr>
          <w:rFonts w:hint="eastAsia" w:ascii="仿宋" w:hAnsi="仿宋" w:eastAsia="仿宋" w:cs="仿宋"/>
          <w:b w:val="0"/>
          <w:bCs w:val="0"/>
          <w:color w:val="4B4B4B"/>
          <w:sz w:val="32"/>
          <w:szCs w:val="32"/>
          <w:lang w:val="en-US" w:eastAsia="zh-CN"/>
        </w:rPr>
        <w:t>790</w:t>
      </w:r>
      <w:r>
        <w:rPr>
          <w:rFonts w:hint="eastAsia" w:ascii="仿宋" w:hAnsi="仿宋" w:eastAsia="仿宋" w:cs="仿宋"/>
          <w:b w:val="0"/>
          <w:bCs w:val="0"/>
          <w:color w:val="4B4B4B"/>
          <w:sz w:val="32"/>
          <w:szCs w:val="32"/>
        </w:rPr>
        <w:t>万，睢宁3</w:t>
      </w:r>
      <w:r>
        <w:rPr>
          <w:rFonts w:hint="eastAsia" w:ascii="仿宋" w:hAnsi="仿宋" w:eastAsia="仿宋" w:cs="仿宋"/>
          <w:b w:val="0"/>
          <w:bCs w:val="0"/>
          <w:color w:val="4B4B4B"/>
          <w:sz w:val="32"/>
          <w:szCs w:val="32"/>
          <w:lang w:val="en-US" w:eastAsia="zh-CN"/>
        </w:rPr>
        <w:t>0</w:t>
      </w:r>
      <w:r>
        <w:rPr>
          <w:rFonts w:hint="eastAsia" w:ascii="仿宋" w:hAnsi="仿宋" w:eastAsia="仿宋" w:cs="仿宋"/>
          <w:b w:val="0"/>
          <w:bCs w:val="0"/>
          <w:color w:val="4B4B4B"/>
          <w:sz w:val="32"/>
          <w:szCs w:val="32"/>
        </w:rPr>
        <w:t>0万、新沂</w:t>
      </w:r>
      <w:r>
        <w:rPr>
          <w:rFonts w:hint="eastAsia" w:ascii="仿宋" w:hAnsi="仿宋" w:eastAsia="仿宋" w:cs="仿宋"/>
          <w:b w:val="0"/>
          <w:bCs w:val="0"/>
          <w:color w:val="4B4B4B"/>
          <w:sz w:val="32"/>
          <w:szCs w:val="32"/>
          <w:lang w:val="en-US" w:eastAsia="zh-CN"/>
        </w:rPr>
        <w:t>39</w:t>
      </w:r>
      <w:r>
        <w:rPr>
          <w:rFonts w:hint="eastAsia" w:ascii="仿宋" w:hAnsi="仿宋" w:eastAsia="仿宋" w:cs="仿宋"/>
          <w:b w:val="0"/>
          <w:bCs w:val="0"/>
          <w:color w:val="4B4B4B"/>
          <w:sz w:val="32"/>
          <w:szCs w:val="32"/>
        </w:rPr>
        <w:t>0万</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带动职工职工稳岗就业7284人。年度补贴2021年贷款2022年贷款到期183家中小企业补贴利率及保费合计3359805.46元。</w:t>
      </w:r>
      <w:r>
        <w:rPr>
          <w:rFonts w:hint="eastAsia" w:ascii="仿宋" w:hAnsi="仿宋" w:eastAsia="仿宋"/>
          <w:sz w:val="32"/>
          <w:szCs w:val="32"/>
        </w:rPr>
        <w:t>为中小企业克服疫情影响、持续发展提供了资金支持，为稳定企业职工岗位发挥重要作用，受到了广泛欢迎。截止202</w:t>
      </w:r>
      <w:r>
        <w:rPr>
          <w:rFonts w:hint="eastAsia" w:ascii="仿宋" w:hAnsi="仿宋" w:eastAsia="仿宋"/>
          <w:sz w:val="32"/>
          <w:szCs w:val="32"/>
          <w:lang w:val="en-US" w:eastAsia="zh-CN"/>
        </w:rPr>
        <w:t>2</w:t>
      </w:r>
      <w:r>
        <w:rPr>
          <w:rFonts w:hint="eastAsia" w:ascii="仿宋" w:hAnsi="仿宋" w:eastAsia="仿宋"/>
          <w:sz w:val="32"/>
          <w:szCs w:val="32"/>
        </w:rPr>
        <w:t>年12月，徐州“工惠贷”项目累计为</w:t>
      </w:r>
      <w:r>
        <w:rPr>
          <w:rFonts w:hint="eastAsia" w:ascii="仿宋" w:hAnsi="仿宋" w:eastAsia="仿宋" w:cs="仿宋"/>
          <w:sz w:val="32"/>
          <w:szCs w:val="32"/>
          <w:lang w:val="en-US" w:eastAsia="zh-CN"/>
        </w:rPr>
        <w:t>668家中小企业发放贷款31540万元，带动职工稳岗就业12974人，市总补贴利率和保费6032802.08元。</w:t>
      </w:r>
      <w:r>
        <w:rPr>
          <w:rFonts w:hint="eastAsia" w:ascii="仿宋" w:hAnsi="仿宋" w:eastAsia="仿宋"/>
          <w:sz w:val="32"/>
          <w:szCs w:val="32"/>
        </w:rPr>
        <w:t>市总工会与江苏银行、紫金保险合作建立网上申报、审核、审批系统，提升了“工惠贷”业务办理效率，为需求的中小企业、创业职工提供了便捷通道。</w:t>
      </w:r>
    </w:p>
    <w:p>
      <w:pPr>
        <w:ind w:left="640" w:hanging="420" w:hangingChars="200"/>
        <w:rPr>
          <w:rFonts w:ascii="仿宋" w:hAnsi="仿宋" w:eastAsia="仿宋"/>
          <w:sz w:val="32"/>
          <w:szCs w:val="32"/>
        </w:rPr>
      </w:pPr>
      <w:r>
        <w:drawing>
          <wp:inline distT="0" distB="0" distL="114300" distR="114300">
            <wp:extent cx="5452745" cy="3870325"/>
            <wp:effectExtent l="4445" t="4445" r="10160" b="1143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643" w:firstLineChars="200"/>
        <w:rPr>
          <w:rFonts w:ascii="黑体" w:hAnsi="黑体" w:eastAsia="黑体" w:cs="黑体"/>
          <w:kern w:val="0"/>
          <w:sz w:val="32"/>
          <w:szCs w:val="32"/>
        </w:rPr>
      </w:pPr>
      <w:r>
        <w:rPr>
          <w:rFonts w:hint="eastAsia" w:ascii="黑体" w:hAnsi="黑体" w:eastAsia="黑体" w:cs="黑体"/>
          <w:b/>
          <w:bCs/>
          <w:kern w:val="0"/>
          <w:sz w:val="32"/>
          <w:szCs w:val="32"/>
        </w:rPr>
        <w:t>二、</w:t>
      </w:r>
      <w:r>
        <w:rPr>
          <w:rFonts w:hint="eastAsia" w:ascii="黑体" w:hAnsi="黑体" w:eastAsia="黑体" w:cs="黑体"/>
          <w:kern w:val="0"/>
          <w:sz w:val="32"/>
          <w:szCs w:val="32"/>
        </w:rPr>
        <w:t>贷款效益分析</w:t>
      </w:r>
    </w:p>
    <w:p>
      <w:pPr>
        <w:pStyle w:val="6"/>
        <w:shd w:val="clear" w:color="auto" w:fill="FFFFFF"/>
        <w:spacing w:before="150" w:beforeAutospacing="0" w:after="150" w:afterAutospacing="0"/>
        <w:ind w:firstLine="643" w:firstLineChars="200"/>
        <w:rPr>
          <w:rFonts w:ascii="楷体" w:hAnsi="楷体" w:eastAsia="楷体" w:cs="楷体"/>
          <w:b/>
          <w:bCs/>
          <w:color w:val="333333"/>
          <w:sz w:val="32"/>
          <w:szCs w:val="32"/>
        </w:rPr>
      </w:pPr>
      <w:r>
        <w:rPr>
          <w:rFonts w:hint="eastAsia" w:ascii="楷体" w:hAnsi="楷体" w:eastAsia="楷体" w:cs="楷体"/>
          <w:b/>
          <w:bCs/>
          <w:color w:val="333333"/>
          <w:sz w:val="32"/>
          <w:szCs w:val="32"/>
        </w:rPr>
        <w:t>（一）创业法人类型分布情况</w:t>
      </w:r>
    </w:p>
    <w:p>
      <w:pPr>
        <w:pStyle w:val="6"/>
        <w:shd w:val="clear" w:color="auto" w:fill="FFFFFF"/>
        <w:spacing w:before="150" w:beforeAutospacing="0" w:after="150" w:afterAutospacing="0"/>
        <w:ind w:firstLine="640" w:firstLineChars="200"/>
        <w:rPr>
          <w:rFonts w:ascii="仿宋" w:hAnsi="仿宋" w:eastAsia="仿宋"/>
          <w:color w:val="333333"/>
          <w:sz w:val="32"/>
          <w:szCs w:val="32"/>
        </w:rPr>
      </w:pPr>
      <w:r>
        <w:rPr>
          <w:rFonts w:hint="eastAsia" w:ascii="仿宋" w:hAnsi="仿宋" w:eastAsia="仿宋"/>
          <w:color w:val="333333"/>
          <w:sz w:val="32"/>
          <w:szCs w:val="32"/>
        </w:rPr>
        <w:t>2019年至202</w:t>
      </w:r>
      <w:r>
        <w:rPr>
          <w:rFonts w:hint="eastAsia" w:ascii="仿宋" w:hAnsi="仿宋" w:eastAsia="仿宋"/>
          <w:color w:val="333333"/>
          <w:sz w:val="32"/>
          <w:szCs w:val="32"/>
          <w:lang w:val="en-US" w:eastAsia="zh-CN"/>
        </w:rPr>
        <w:t>2</w:t>
      </w:r>
      <w:r>
        <w:rPr>
          <w:rFonts w:hint="eastAsia" w:ascii="仿宋" w:hAnsi="仿宋" w:eastAsia="仿宋"/>
          <w:color w:val="333333"/>
          <w:sz w:val="32"/>
          <w:szCs w:val="32"/>
        </w:rPr>
        <w:t>年直接扶持中小微企业</w:t>
      </w:r>
      <w:r>
        <w:rPr>
          <w:rFonts w:hint="eastAsia" w:ascii="仿宋" w:hAnsi="仿宋" w:eastAsia="仿宋"/>
          <w:color w:val="333333"/>
          <w:sz w:val="32"/>
          <w:szCs w:val="32"/>
          <w:lang w:val="en-US" w:eastAsia="zh-CN"/>
        </w:rPr>
        <w:t>668</w:t>
      </w:r>
      <w:r>
        <w:rPr>
          <w:rFonts w:hint="eastAsia" w:ascii="仿宋" w:hAnsi="仿宋" w:eastAsia="仿宋"/>
          <w:color w:val="333333"/>
          <w:sz w:val="32"/>
          <w:szCs w:val="32"/>
        </w:rPr>
        <w:t>家，其中：下岗(离岗)失业自主创业人员</w:t>
      </w:r>
      <w:r>
        <w:rPr>
          <w:rFonts w:hint="eastAsia" w:ascii="仿宋" w:hAnsi="仿宋" w:eastAsia="仿宋"/>
          <w:color w:val="333333"/>
          <w:sz w:val="32"/>
          <w:szCs w:val="32"/>
          <w:lang w:val="en-US" w:eastAsia="zh-CN"/>
        </w:rPr>
        <w:t>229</w:t>
      </w:r>
      <w:r>
        <w:rPr>
          <w:rFonts w:hint="eastAsia" w:ascii="仿宋" w:hAnsi="仿宋" w:eastAsia="仿宋"/>
          <w:color w:val="333333"/>
          <w:sz w:val="32"/>
          <w:szCs w:val="32"/>
        </w:rPr>
        <w:t>人，占</w:t>
      </w:r>
      <w:r>
        <w:rPr>
          <w:rFonts w:hint="eastAsia" w:ascii="仿宋" w:hAnsi="仿宋" w:eastAsia="仿宋"/>
          <w:color w:val="333333"/>
          <w:sz w:val="32"/>
          <w:szCs w:val="32"/>
          <w:lang w:val="en-US" w:eastAsia="zh-CN"/>
        </w:rPr>
        <w:t>35</w:t>
      </w:r>
      <w:r>
        <w:rPr>
          <w:rFonts w:hint="eastAsia" w:ascii="仿宋" w:hAnsi="仿宋" w:eastAsia="仿宋"/>
          <w:color w:val="333333"/>
          <w:sz w:val="32"/>
          <w:szCs w:val="32"/>
        </w:rPr>
        <w:t>%；大学生创业</w:t>
      </w:r>
      <w:r>
        <w:rPr>
          <w:rFonts w:hint="eastAsia" w:ascii="仿宋" w:hAnsi="仿宋" w:eastAsia="仿宋"/>
          <w:color w:val="333333"/>
          <w:sz w:val="32"/>
          <w:szCs w:val="32"/>
          <w:lang w:val="en-US" w:eastAsia="zh-CN"/>
        </w:rPr>
        <w:t>243</w:t>
      </w:r>
      <w:r>
        <w:rPr>
          <w:rFonts w:hint="eastAsia" w:ascii="仿宋" w:hAnsi="仿宋" w:eastAsia="仿宋"/>
          <w:color w:val="333333"/>
          <w:sz w:val="32"/>
          <w:szCs w:val="32"/>
        </w:rPr>
        <w:t>人，占</w:t>
      </w:r>
      <w:r>
        <w:rPr>
          <w:rFonts w:hint="eastAsia" w:ascii="仿宋" w:hAnsi="仿宋" w:eastAsia="仿宋"/>
          <w:color w:val="333333"/>
          <w:sz w:val="32"/>
          <w:szCs w:val="32"/>
          <w:lang w:val="en-US" w:eastAsia="zh-CN"/>
        </w:rPr>
        <w:t>37</w:t>
      </w:r>
      <w:r>
        <w:rPr>
          <w:rFonts w:hint="eastAsia" w:ascii="仿宋" w:hAnsi="仿宋" w:eastAsia="仿宋"/>
          <w:color w:val="333333"/>
          <w:sz w:val="32"/>
          <w:szCs w:val="32"/>
        </w:rPr>
        <w:t>%；失地农民和返乡创业农民</w:t>
      </w:r>
      <w:r>
        <w:rPr>
          <w:rFonts w:hint="eastAsia" w:ascii="仿宋" w:hAnsi="仿宋" w:eastAsia="仿宋"/>
          <w:color w:val="333333"/>
          <w:sz w:val="32"/>
          <w:szCs w:val="32"/>
          <w:lang w:val="en-US" w:eastAsia="zh-CN"/>
        </w:rPr>
        <w:t>56</w:t>
      </w:r>
      <w:r>
        <w:rPr>
          <w:rFonts w:hint="eastAsia" w:ascii="仿宋" w:hAnsi="仿宋" w:eastAsia="仿宋"/>
          <w:color w:val="333333"/>
          <w:sz w:val="32"/>
          <w:szCs w:val="32"/>
        </w:rPr>
        <w:t>人，占</w:t>
      </w:r>
      <w:r>
        <w:rPr>
          <w:rFonts w:hint="eastAsia" w:ascii="仿宋" w:hAnsi="仿宋" w:eastAsia="仿宋"/>
          <w:color w:val="333333"/>
          <w:sz w:val="32"/>
          <w:szCs w:val="32"/>
          <w:lang w:val="en-US" w:eastAsia="zh-CN"/>
        </w:rPr>
        <w:t>8</w:t>
      </w:r>
      <w:r>
        <w:rPr>
          <w:rFonts w:hint="eastAsia" w:ascii="仿宋" w:hAnsi="仿宋" w:eastAsia="仿宋"/>
          <w:color w:val="333333"/>
          <w:sz w:val="32"/>
          <w:szCs w:val="32"/>
        </w:rPr>
        <w:t>%；</w:t>
      </w:r>
      <w:r>
        <w:rPr>
          <w:rFonts w:hint="eastAsia" w:ascii="仿宋" w:hAnsi="仿宋" w:eastAsia="仿宋"/>
          <w:color w:val="333333"/>
          <w:sz w:val="32"/>
          <w:szCs w:val="32"/>
          <w:lang w:val="en-US" w:eastAsia="zh-CN"/>
        </w:rPr>
        <w:t>其他从业人员140人，占20%；</w:t>
      </w:r>
      <w:r>
        <w:rPr>
          <w:rFonts w:hint="eastAsia" w:ascii="仿宋" w:hAnsi="仿宋" w:eastAsia="仿宋"/>
          <w:color w:val="333333"/>
          <w:sz w:val="32"/>
          <w:szCs w:val="32"/>
        </w:rPr>
        <w:t>从扶持对象分布情况看出，失地农民和</w:t>
      </w:r>
      <w:r>
        <w:rPr>
          <w:rFonts w:hint="eastAsia" w:ascii="仿宋" w:hAnsi="仿宋" w:eastAsia="仿宋"/>
          <w:color w:val="333333"/>
          <w:sz w:val="32"/>
          <w:szCs w:val="32"/>
          <w:lang w:val="en-US" w:eastAsia="zh-CN"/>
        </w:rPr>
        <w:t>其他从业人员</w:t>
      </w:r>
      <w:r>
        <w:rPr>
          <w:rFonts w:hint="eastAsia" w:ascii="仿宋" w:hAnsi="仿宋" w:eastAsia="仿宋"/>
          <w:color w:val="333333"/>
          <w:sz w:val="32"/>
          <w:szCs w:val="32"/>
        </w:rPr>
        <w:t>创业贷款占比较小。</w:t>
      </w:r>
      <w:r>
        <w:drawing>
          <wp:inline distT="0" distB="0" distL="114300" distR="114300">
            <wp:extent cx="5539105" cy="3366135"/>
            <wp:effectExtent l="4445" t="4445" r="9525" b="10795"/>
            <wp:docPr id="3" name="图表 2" descr="7b0a202020202263686172745265734964223a20223837333737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spacing w:before="150" w:after="150"/>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（二）每年度发放增幅情况</w:t>
      </w:r>
    </w:p>
    <w:p>
      <w:pPr>
        <w:widowControl/>
        <w:spacing w:before="150" w:after="150"/>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2019年发放金额1625万元；2020年发放金额5776万元，较上年度相比增长255%；2021年发放金额9290万元，较上年度相比增长61%；202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年发放金额</w:t>
      </w:r>
      <w:r>
        <w:rPr>
          <w:rFonts w:hint="eastAsia" w:ascii="仿宋" w:hAnsi="仿宋" w:eastAsia="仿宋" w:cs="宋体"/>
          <w:color w:val="333333"/>
          <w:kern w:val="0"/>
          <w:sz w:val="32"/>
          <w:szCs w:val="32"/>
          <w:lang w:val="en-US" w:eastAsia="zh-CN"/>
        </w:rPr>
        <w:t>15078</w:t>
      </w:r>
      <w:r>
        <w:rPr>
          <w:rFonts w:hint="eastAsia" w:ascii="仿宋" w:hAnsi="仿宋" w:eastAsia="仿宋" w:cs="宋体"/>
          <w:color w:val="333333"/>
          <w:kern w:val="0"/>
          <w:sz w:val="32"/>
          <w:szCs w:val="32"/>
        </w:rPr>
        <w:t>万元，较上年度相比增长6</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%；从2019至202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年呈上涨态势，其主要原因还是从2019年</w:t>
      </w:r>
      <w:r>
        <w:rPr>
          <w:rFonts w:hint="eastAsia" w:ascii="仿宋" w:hAnsi="仿宋" w:eastAsia="仿宋" w:cs="宋体"/>
          <w:color w:val="333333"/>
          <w:kern w:val="0"/>
          <w:sz w:val="32"/>
          <w:szCs w:val="32"/>
          <w:lang w:val="en-US" w:eastAsia="zh-CN"/>
        </w:rPr>
        <w:t>至</w:t>
      </w:r>
      <w:r>
        <w:rPr>
          <w:rFonts w:hint="eastAsia" w:ascii="仿宋" w:hAnsi="仿宋" w:eastAsia="仿宋" w:cs="宋体"/>
          <w:color w:val="333333"/>
          <w:kern w:val="0"/>
          <w:sz w:val="32"/>
          <w:szCs w:val="32"/>
        </w:rPr>
        <w:t>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年部分企业受新冠肺炎疫情和徐州环保检查力度影响，致使约70%以上的创业者需要创业担保贷款的扶持。</w:t>
      </w:r>
      <w:r>
        <w:drawing>
          <wp:inline distT="0" distB="0" distL="114300" distR="114300">
            <wp:extent cx="4838700" cy="2886710"/>
            <wp:effectExtent l="4445" t="4445" r="5080" b="1397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spacing w:before="150" w:after="150"/>
        <w:ind w:firstLine="643" w:firstLineChars="200"/>
        <w:jc w:val="left"/>
        <w:rPr>
          <w:rFonts w:ascii="楷体" w:hAnsi="楷体" w:eastAsia="楷体" w:cs="楷体"/>
          <w:b/>
          <w:bCs/>
          <w:color w:val="333333"/>
          <w:kern w:val="0"/>
          <w:sz w:val="32"/>
          <w:szCs w:val="32"/>
        </w:rPr>
      </w:pPr>
      <w:r>
        <w:rPr>
          <w:rFonts w:hint="eastAsia" w:ascii="楷体" w:hAnsi="楷体" w:eastAsia="楷体" w:cs="楷体"/>
          <w:b/>
          <w:bCs/>
          <w:color w:val="333333"/>
          <w:kern w:val="0"/>
          <w:sz w:val="32"/>
          <w:szCs w:val="32"/>
        </w:rPr>
        <w:t>（三）发放项目经营情况</w:t>
      </w:r>
    </w:p>
    <w:p>
      <w:pPr>
        <w:widowControl/>
        <w:spacing w:before="150" w:after="150"/>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在</w:t>
      </w:r>
      <w:r>
        <w:rPr>
          <w:rFonts w:hint="eastAsia" w:ascii="仿宋" w:hAnsi="仿宋" w:eastAsia="仿宋" w:cs="宋体"/>
          <w:color w:val="333333"/>
          <w:kern w:val="0"/>
          <w:sz w:val="32"/>
          <w:szCs w:val="32"/>
          <w:lang w:val="en-US" w:eastAsia="zh-CN"/>
        </w:rPr>
        <w:t>668</w:t>
      </w:r>
      <w:r>
        <w:rPr>
          <w:rFonts w:hint="eastAsia" w:ascii="仿宋" w:hAnsi="仿宋" w:eastAsia="仿宋" w:cs="宋体"/>
          <w:color w:val="333333"/>
          <w:kern w:val="0"/>
          <w:sz w:val="32"/>
          <w:szCs w:val="32"/>
        </w:rPr>
        <w:t>笔贷款中，正常经营的项目</w:t>
      </w:r>
      <w:r>
        <w:rPr>
          <w:rFonts w:hint="eastAsia" w:ascii="仿宋" w:hAnsi="仿宋" w:eastAsia="仿宋" w:cs="宋体"/>
          <w:color w:val="333333"/>
          <w:kern w:val="0"/>
          <w:sz w:val="32"/>
          <w:szCs w:val="32"/>
          <w:lang w:val="en-US" w:eastAsia="zh-CN"/>
        </w:rPr>
        <w:t>668</w:t>
      </w:r>
      <w:r>
        <w:rPr>
          <w:rFonts w:hint="eastAsia" w:ascii="仿宋" w:hAnsi="仿宋" w:eastAsia="仿宋" w:cs="宋体"/>
          <w:color w:val="333333"/>
          <w:kern w:val="0"/>
          <w:sz w:val="32"/>
          <w:szCs w:val="32"/>
        </w:rPr>
        <w:t>个，占100%，经营失败或停业的0个；项目创业成功在100%以上。说明发放创业担保贷款后，使项目经营上起到了一定作用，帮助企业和个人经营能够基本稳定经营。</w:t>
      </w:r>
    </w:p>
    <w:p>
      <w:pPr>
        <w:widowControl/>
        <w:spacing w:before="150" w:after="150"/>
        <w:jc w:val="left"/>
        <w:rPr>
          <w:rFonts w:ascii="仿宋" w:hAnsi="仿宋" w:eastAsia="仿宋" w:cs="宋体"/>
          <w:color w:val="333333"/>
          <w:kern w:val="0"/>
          <w:sz w:val="32"/>
          <w:szCs w:val="32"/>
        </w:rPr>
      </w:pPr>
      <w:r>
        <w:rPr>
          <w:rFonts w:ascii="仿宋" w:hAnsi="仿宋" w:eastAsia="仿宋"/>
          <w:sz w:val="32"/>
          <w:szCs w:val="32"/>
        </w:rPr>
        <w:drawing>
          <wp:inline distT="0" distB="0" distL="114300" distR="114300">
            <wp:extent cx="5268595" cy="2364740"/>
            <wp:effectExtent l="5080" t="4445" r="22225" b="12065"/>
            <wp:docPr id="22" name="图表 10" descr="7b0a202020202263686172745265734964223a20223837333737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spacing w:before="150" w:after="150"/>
        <w:ind w:firstLine="643" w:firstLineChars="200"/>
        <w:jc w:val="left"/>
        <w:rPr>
          <w:rFonts w:ascii="楷体" w:hAnsi="楷体" w:eastAsia="楷体" w:cs="楷体"/>
          <w:b/>
          <w:bCs/>
          <w:color w:val="333333"/>
          <w:kern w:val="0"/>
          <w:sz w:val="32"/>
          <w:szCs w:val="32"/>
        </w:rPr>
      </w:pPr>
      <w:r>
        <w:rPr>
          <w:rFonts w:hint="eastAsia" w:ascii="楷体" w:hAnsi="楷体" w:eastAsia="楷体" w:cs="楷体"/>
          <w:b/>
          <w:bCs/>
          <w:sz w:val="32"/>
          <w:szCs w:val="32"/>
        </w:rPr>
        <w:drawing>
          <wp:anchor distT="0" distB="0" distL="114300" distR="114300" simplePos="0" relativeHeight="251660288" behindDoc="0" locked="0" layoutInCell="1" allowOverlap="1">
            <wp:simplePos x="0" y="0"/>
            <wp:positionH relativeFrom="column">
              <wp:posOffset>6248400</wp:posOffset>
            </wp:positionH>
            <wp:positionV relativeFrom="paragraph">
              <wp:posOffset>10166350</wp:posOffset>
            </wp:positionV>
            <wp:extent cx="6098540" cy="2341880"/>
            <wp:effectExtent l="4445" t="4445" r="12065" b="15875"/>
            <wp:wrapNone/>
            <wp:docPr id="11" name="图表 10" descr="7b0a202020202263686172745265734964223a20223837333737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楷体" w:hAnsi="楷体" w:eastAsia="楷体" w:cs="楷体"/>
          <w:b/>
          <w:bCs/>
          <w:sz w:val="32"/>
          <w:szCs w:val="32"/>
        </w:rPr>
        <w:t>（四）</w:t>
      </w:r>
      <w:r>
        <w:rPr>
          <w:rFonts w:hint="eastAsia" w:ascii="楷体" w:hAnsi="楷体" w:eastAsia="楷体" w:cs="楷体"/>
          <w:b/>
          <w:bCs/>
          <w:color w:val="333333"/>
          <w:kern w:val="0"/>
          <w:sz w:val="32"/>
          <w:szCs w:val="32"/>
        </w:rPr>
        <w:t>带动稳岗就业情况</w:t>
      </w:r>
    </w:p>
    <w:p>
      <w:pPr>
        <w:widowControl/>
        <w:spacing w:before="150" w:after="150"/>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lang w:val="en-US" w:eastAsia="zh-CN"/>
        </w:rPr>
        <w:t>四</w:t>
      </w:r>
      <w:r>
        <w:rPr>
          <w:rFonts w:hint="eastAsia" w:ascii="仿宋" w:hAnsi="仿宋" w:eastAsia="仿宋" w:cs="宋体"/>
          <w:color w:val="333333"/>
          <w:kern w:val="0"/>
          <w:sz w:val="32"/>
          <w:szCs w:val="32"/>
        </w:rPr>
        <w:t>年来直接带动稳岗就业</w:t>
      </w:r>
      <w:r>
        <w:rPr>
          <w:rFonts w:hint="eastAsia" w:ascii="仿宋" w:hAnsi="仿宋" w:eastAsia="仿宋" w:cs="宋体"/>
          <w:color w:val="333333"/>
          <w:kern w:val="0"/>
          <w:sz w:val="32"/>
          <w:szCs w:val="32"/>
          <w:lang w:val="en-US" w:eastAsia="zh-CN"/>
        </w:rPr>
        <w:t>13311</w:t>
      </w:r>
      <w:r>
        <w:rPr>
          <w:rFonts w:hint="eastAsia" w:ascii="仿宋" w:hAnsi="仿宋" w:eastAsia="仿宋" w:cs="宋体"/>
          <w:color w:val="333333"/>
          <w:kern w:val="0"/>
          <w:sz w:val="32"/>
          <w:szCs w:val="32"/>
        </w:rPr>
        <w:t>人，其中：下岗(离岗)自主创业人员</w:t>
      </w:r>
      <w:r>
        <w:rPr>
          <w:rFonts w:hint="eastAsia" w:ascii="仿宋" w:hAnsi="仿宋" w:eastAsia="仿宋" w:cs="宋体"/>
          <w:color w:val="333333"/>
          <w:kern w:val="0"/>
          <w:sz w:val="32"/>
          <w:szCs w:val="32"/>
          <w:lang w:val="en-US" w:eastAsia="zh-CN"/>
        </w:rPr>
        <w:t>5689</w:t>
      </w:r>
      <w:r>
        <w:rPr>
          <w:rFonts w:hint="eastAsia" w:ascii="仿宋" w:hAnsi="仿宋" w:eastAsia="仿宋" w:cs="宋体"/>
          <w:color w:val="333333"/>
          <w:kern w:val="0"/>
          <w:sz w:val="32"/>
          <w:szCs w:val="32"/>
        </w:rPr>
        <w:t>人，占</w:t>
      </w:r>
      <w:r>
        <w:rPr>
          <w:rFonts w:hint="eastAsia" w:ascii="仿宋" w:hAnsi="仿宋" w:eastAsia="仿宋" w:cs="宋体"/>
          <w:color w:val="333333"/>
          <w:kern w:val="0"/>
          <w:sz w:val="32"/>
          <w:szCs w:val="32"/>
          <w:lang w:val="en-US" w:eastAsia="zh-CN"/>
        </w:rPr>
        <w:t>43</w:t>
      </w:r>
      <w:r>
        <w:rPr>
          <w:rFonts w:hint="eastAsia" w:ascii="仿宋" w:hAnsi="仿宋" w:eastAsia="仿宋" w:cs="宋体"/>
          <w:color w:val="333333"/>
          <w:kern w:val="0"/>
          <w:sz w:val="32"/>
          <w:szCs w:val="32"/>
        </w:rPr>
        <w:t>%；应往届高校毕业生</w:t>
      </w:r>
      <w:r>
        <w:rPr>
          <w:rFonts w:hint="eastAsia" w:ascii="仿宋" w:hAnsi="仿宋" w:eastAsia="仿宋" w:cs="宋体"/>
          <w:color w:val="333333"/>
          <w:kern w:val="0"/>
          <w:sz w:val="32"/>
          <w:szCs w:val="32"/>
          <w:lang w:val="en-US" w:eastAsia="zh-CN"/>
        </w:rPr>
        <w:t>2899</w:t>
      </w:r>
      <w:r>
        <w:rPr>
          <w:rFonts w:hint="eastAsia" w:ascii="仿宋" w:hAnsi="仿宋" w:eastAsia="仿宋" w:cs="宋体"/>
          <w:color w:val="333333"/>
          <w:kern w:val="0"/>
          <w:sz w:val="32"/>
          <w:szCs w:val="32"/>
        </w:rPr>
        <w:t>人，占2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%；失地农民和返乡创业农民</w:t>
      </w:r>
      <w:r>
        <w:rPr>
          <w:rFonts w:hint="eastAsia" w:ascii="仿宋" w:hAnsi="仿宋" w:eastAsia="仿宋" w:cs="宋体"/>
          <w:color w:val="333333"/>
          <w:kern w:val="0"/>
          <w:sz w:val="32"/>
          <w:szCs w:val="32"/>
          <w:lang w:val="en-US" w:eastAsia="zh-CN"/>
        </w:rPr>
        <w:t>2835</w:t>
      </w:r>
      <w:r>
        <w:rPr>
          <w:rFonts w:hint="eastAsia" w:ascii="仿宋" w:hAnsi="仿宋" w:eastAsia="仿宋" w:cs="宋体"/>
          <w:color w:val="333333"/>
          <w:kern w:val="0"/>
          <w:sz w:val="32"/>
          <w:szCs w:val="32"/>
        </w:rPr>
        <w:t>人，占</w:t>
      </w:r>
      <w:r>
        <w:rPr>
          <w:rFonts w:hint="eastAsia" w:ascii="仿宋" w:hAnsi="仿宋" w:eastAsia="仿宋" w:cs="宋体"/>
          <w:color w:val="333333"/>
          <w:kern w:val="0"/>
          <w:sz w:val="32"/>
          <w:szCs w:val="32"/>
          <w:lang w:val="en-US" w:eastAsia="zh-CN"/>
        </w:rPr>
        <w:t>21</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lang w:val="en-US" w:eastAsia="zh-CN"/>
        </w:rPr>
        <w:t>其他从业人员1888</w:t>
      </w:r>
      <w:r>
        <w:rPr>
          <w:rFonts w:hint="eastAsia" w:ascii="仿宋" w:hAnsi="仿宋" w:eastAsia="仿宋" w:cs="宋体"/>
          <w:color w:val="333333"/>
          <w:kern w:val="0"/>
          <w:sz w:val="32"/>
          <w:szCs w:val="32"/>
        </w:rPr>
        <w:t>人，占</w:t>
      </w:r>
      <w:r>
        <w:rPr>
          <w:rFonts w:hint="eastAsia" w:ascii="仿宋" w:hAnsi="仿宋" w:eastAsia="仿宋" w:cs="宋体"/>
          <w:color w:val="333333"/>
          <w:kern w:val="0"/>
          <w:sz w:val="32"/>
          <w:szCs w:val="32"/>
          <w:lang w:val="en-US" w:eastAsia="zh-CN"/>
        </w:rPr>
        <w:t>14</w:t>
      </w:r>
      <w:r>
        <w:rPr>
          <w:rFonts w:hint="eastAsia" w:ascii="仿宋" w:hAnsi="仿宋" w:eastAsia="仿宋" w:cs="宋体"/>
          <w:color w:val="333333"/>
          <w:kern w:val="0"/>
          <w:sz w:val="32"/>
          <w:szCs w:val="32"/>
        </w:rPr>
        <w:t>%。实践证明，贷款贴息工作既是帮助劳动者实现自主创业、自谋职业，又是实现就业最直接、最有效的办法。据调查分析，工惠贷扶持1人成功创业，可平均带动5人就业，扶持1户小微企业，可平均吸纳就业10-30人以上，工惠贷扶持创业对新增就业的贡献显现。</w:t>
      </w:r>
      <w:r>
        <w:rPr>
          <w:rFonts w:hint="eastAsia" w:ascii="仿宋" w:hAnsi="仿宋" w:eastAsia="仿宋" w:cs="宋体"/>
          <w:color w:val="333333"/>
          <w:kern w:val="0"/>
          <w:sz w:val="32"/>
          <w:szCs w:val="32"/>
          <w:lang w:val="en-US" w:eastAsia="zh-CN"/>
        </w:rPr>
        <w:t>4</w:t>
      </w:r>
      <w:r>
        <w:rPr>
          <w:rFonts w:hint="eastAsia" w:ascii="仿宋" w:hAnsi="仿宋" w:eastAsia="仿宋" w:cs="宋体"/>
          <w:color w:val="333333"/>
          <w:kern w:val="0"/>
          <w:sz w:val="32"/>
          <w:szCs w:val="32"/>
        </w:rPr>
        <w:t>年来，支持符合条件的徐州华之星起重设备有限公司、徐州同力恒通物业管理有限公司、徐州再出发网络科技有限公司、徐州家天下家具有限公司4家小微企业贷款200万元，稳定近1000人就业，平均每家企业带动约200人以上就业。说明小微企业促进就业起到很大的引领作用，以更好地促进企业发展和提高就业率。</w:t>
      </w:r>
    </w:p>
    <w:p>
      <w:pPr>
        <w:widowControl/>
        <w:spacing w:before="150" w:after="150"/>
        <w:jc w:val="left"/>
        <w:rPr>
          <w:rFonts w:ascii="仿宋" w:hAnsi="仿宋" w:eastAsia="仿宋" w:cs="宋体"/>
          <w:color w:val="333333"/>
          <w:kern w:val="0"/>
          <w:sz w:val="32"/>
          <w:szCs w:val="32"/>
        </w:rPr>
      </w:pPr>
      <w:r>
        <w:drawing>
          <wp:inline distT="0" distB="0" distL="114300" distR="114300">
            <wp:extent cx="4287520" cy="2444750"/>
            <wp:effectExtent l="4445" t="4445" r="13335" b="825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spacing w:before="150" w:after="150"/>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（五）行业分布情况</w:t>
      </w:r>
    </w:p>
    <w:p>
      <w:pPr>
        <w:widowControl/>
        <w:spacing w:before="150" w:after="150"/>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目前，帮扶中小微企业行业分布主要集中在工业制造业，租赁和商业服务业、住宿和餐饮业、批发和零售业、居民服务和家政服务业、信息科技业，贷款占比最高的是服务业，贷款增速最快的客户行业是制造业，经统计，2019年贷款企业行业分布：第一产业0家，第二产业12家，第三产业28家，第四新型产业1家。2020年贷款企业行业分布：第一产业1家，第二产业19家，第三产业97家，第四新型产业12家。2021年贷款企业行业分布：第一产业5家，第二产业22家，第三产业156家，第四新型产业3家。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年贷款企业行业分布：第一产业</w:t>
      </w:r>
      <w:r>
        <w:rPr>
          <w:rFonts w:hint="eastAsia" w:ascii="仿宋" w:hAnsi="仿宋" w:eastAsia="仿宋" w:cs="宋体"/>
          <w:color w:val="333333"/>
          <w:kern w:val="0"/>
          <w:sz w:val="32"/>
          <w:szCs w:val="32"/>
          <w:lang w:val="en-US" w:eastAsia="zh-CN"/>
        </w:rPr>
        <w:t>11</w:t>
      </w:r>
      <w:r>
        <w:rPr>
          <w:rFonts w:hint="eastAsia" w:ascii="仿宋" w:hAnsi="仿宋" w:eastAsia="仿宋" w:cs="宋体"/>
          <w:color w:val="333333"/>
          <w:kern w:val="0"/>
          <w:sz w:val="32"/>
          <w:szCs w:val="32"/>
        </w:rPr>
        <w:t>家，第二产业</w:t>
      </w:r>
      <w:r>
        <w:rPr>
          <w:rFonts w:hint="eastAsia" w:ascii="仿宋" w:hAnsi="仿宋" w:eastAsia="仿宋" w:cs="宋体"/>
          <w:color w:val="333333"/>
          <w:kern w:val="0"/>
          <w:sz w:val="32"/>
          <w:szCs w:val="32"/>
          <w:lang w:val="en-US" w:eastAsia="zh-CN"/>
        </w:rPr>
        <w:t>89</w:t>
      </w:r>
      <w:r>
        <w:rPr>
          <w:rFonts w:hint="eastAsia" w:ascii="仿宋" w:hAnsi="仿宋" w:eastAsia="仿宋" w:cs="宋体"/>
          <w:color w:val="333333"/>
          <w:kern w:val="0"/>
          <w:sz w:val="32"/>
          <w:szCs w:val="32"/>
        </w:rPr>
        <w:t>家，第三产业</w:t>
      </w:r>
      <w:r>
        <w:rPr>
          <w:rFonts w:hint="eastAsia" w:ascii="仿宋" w:hAnsi="仿宋" w:eastAsia="仿宋" w:cs="宋体"/>
          <w:color w:val="333333"/>
          <w:kern w:val="0"/>
          <w:sz w:val="32"/>
          <w:szCs w:val="32"/>
          <w:lang w:val="en-US" w:eastAsia="zh-CN"/>
        </w:rPr>
        <w:t>208</w:t>
      </w:r>
      <w:r>
        <w:rPr>
          <w:rFonts w:hint="eastAsia" w:ascii="仿宋" w:hAnsi="仿宋" w:eastAsia="仿宋" w:cs="宋体"/>
          <w:color w:val="333333"/>
          <w:kern w:val="0"/>
          <w:sz w:val="32"/>
          <w:szCs w:val="32"/>
        </w:rPr>
        <w:t>家，第四新型产业</w:t>
      </w:r>
      <w:r>
        <w:rPr>
          <w:rFonts w:hint="eastAsia" w:ascii="仿宋" w:hAnsi="仿宋" w:eastAsia="仿宋" w:cs="宋体"/>
          <w:color w:val="333333"/>
          <w:kern w:val="0"/>
          <w:sz w:val="32"/>
          <w:szCs w:val="32"/>
          <w:lang w:val="en-US" w:eastAsia="zh-CN"/>
        </w:rPr>
        <w:t>8</w:t>
      </w:r>
      <w:r>
        <w:rPr>
          <w:rFonts w:hint="eastAsia" w:ascii="仿宋" w:hAnsi="仿宋" w:eastAsia="仿宋" w:cs="宋体"/>
          <w:color w:val="333333"/>
          <w:kern w:val="0"/>
          <w:sz w:val="32"/>
          <w:szCs w:val="32"/>
        </w:rPr>
        <w:t>家。</w:t>
      </w:r>
    </w:p>
    <w:p>
      <w:pPr>
        <w:widowControl/>
        <w:spacing w:before="150" w:after="150"/>
        <w:ind w:firstLine="640" w:firstLineChars="200"/>
        <w:jc w:val="left"/>
        <w:rPr>
          <w:rFonts w:ascii="仿宋" w:hAnsi="仿宋" w:eastAsia="仿宋" w:cs="宋体"/>
          <w:color w:val="333333"/>
          <w:kern w:val="0"/>
          <w:sz w:val="32"/>
          <w:szCs w:val="32"/>
        </w:rPr>
      </w:pPr>
    </w:p>
    <w:p>
      <w:pPr>
        <w:widowControl/>
        <w:spacing w:before="150" w:after="150"/>
        <w:ind w:firstLine="640" w:firstLineChars="200"/>
        <w:jc w:val="left"/>
        <w:rPr>
          <w:rFonts w:ascii="仿宋" w:hAnsi="仿宋" w:eastAsia="仿宋" w:cs="宋体"/>
          <w:color w:val="333333"/>
          <w:kern w:val="0"/>
          <w:sz w:val="32"/>
          <w:szCs w:val="32"/>
        </w:rPr>
      </w:pPr>
    </w:p>
    <w:p>
      <w:pPr>
        <w:rPr>
          <w:rFonts w:ascii="仿宋" w:hAnsi="仿宋" w:eastAsia="仿宋"/>
          <w:sz w:val="32"/>
          <w:szCs w:val="32"/>
        </w:rPr>
      </w:pPr>
      <w:r>
        <w:drawing>
          <wp:inline distT="0" distB="0" distL="114300" distR="114300">
            <wp:extent cx="5544820" cy="3950335"/>
            <wp:effectExtent l="4445" t="4445" r="13335" b="762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spacing w:before="150" w:after="15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三、存在的问题</w:t>
      </w:r>
    </w:p>
    <w:p>
      <w:pPr>
        <w:widowControl/>
        <w:tabs>
          <w:tab w:val="left" w:pos="395"/>
        </w:tabs>
        <w:spacing w:before="150" w:after="150"/>
        <w:ind w:firstLine="643" w:firstLineChars="200"/>
        <w:jc w:val="left"/>
        <w:rPr>
          <w:rFonts w:ascii="仿宋" w:hAnsi="仿宋" w:eastAsia="仿宋" w:cs="宋体"/>
          <w:color w:val="333333"/>
          <w:kern w:val="0"/>
          <w:sz w:val="32"/>
          <w:szCs w:val="32"/>
        </w:rPr>
      </w:pPr>
      <w:r>
        <w:rPr>
          <w:rFonts w:hint="eastAsia" w:ascii="楷体" w:hAnsi="楷体" w:eastAsia="楷体" w:cs="楷体"/>
          <w:b/>
          <w:bCs/>
          <w:color w:val="333333"/>
          <w:kern w:val="0"/>
          <w:sz w:val="32"/>
          <w:szCs w:val="32"/>
        </w:rPr>
        <w:t>（一）企业层面：</w:t>
      </w:r>
      <w:r>
        <w:rPr>
          <w:rFonts w:hint="eastAsia" w:ascii="仿宋" w:hAnsi="仿宋" w:eastAsia="仿宋" w:cs="宋体"/>
          <w:color w:val="333333"/>
          <w:kern w:val="0"/>
          <w:sz w:val="32"/>
          <w:szCs w:val="32"/>
        </w:rPr>
        <w:t>一是中小微企业生产经营规模普遍偏小，资信状况、财务管理情况工会部门无法掌握其真实情况，使得我们无法确定合理的授信额度。二是中小微企业抵御市场风险能力不强，普遍存在资金短缺和缺乏可提供抵押的资产，当市场环境出现较大波动时，部分小微企业将面临被市场自然淘汰，因此增加了银行信贷的风险。三是小微企业类型多，资金需求一次性量小、频率高，加大了贷款的复杂性，增加了融资的成本和代价，造成银行给予小微企业贷款利率普遍存在平均高出2个百分点。四是通过进企宣传，了解到大部分小微企业带动稳岗就业人数虽然多，但真正能够为员工缴纳社会保险的小微企业占比低，当年新招用员工缴纳社会保险比例达30%的企业非常少。</w:t>
      </w:r>
    </w:p>
    <w:p>
      <w:pPr>
        <w:widowControl/>
        <w:spacing w:before="150" w:after="150"/>
        <w:ind w:firstLine="643" w:firstLineChars="200"/>
        <w:jc w:val="left"/>
        <w:rPr>
          <w:rFonts w:ascii="仿宋" w:hAnsi="仿宋" w:eastAsia="仿宋" w:cs="宋体"/>
          <w:color w:val="333333"/>
          <w:kern w:val="0"/>
          <w:sz w:val="32"/>
          <w:szCs w:val="32"/>
        </w:rPr>
      </w:pPr>
      <w:r>
        <w:rPr>
          <w:rFonts w:hint="eastAsia" w:ascii="楷体" w:hAnsi="楷体" w:eastAsia="楷体" w:cs="楷体"/>
          <w:b/>
          <w:bCs/>
          <w:color w:val="333333"/>
          <w:kern w:val="0"/>
          <w:sz w:val="32"/>
          <w:szCs w:val="32"/>
        </w:rPr>
        <w:t>（二）银行层面：</w:t>
      </w:r>
      <w:r>
        <w:rPr>
          <w:rFonts w:hint="eastAsia" w:ascii="仿宋" w:hAnsi="仿宋" w:eastAsia="仿宋" w:cs="宋体"/>
          <w:color w:val="333333"/>
          <w:kern w:val="0"/>
          <w:sz w:val="32"/>
          <w:szCs w:val="32"/>
        </w:rPr>
        <w:t>一是严格的抵押担保条件导致对刚起步的中小微企业服务受限，银行对信誉良好、资质规模大、经营流水好的企业更加青睐，而真正急需融资需求刚起步创业的企业受各项条件限制反而贷不到款，对这些小微企业采取保守态度，只能办理信用贷款，而信用贷款额度低，只能享受市总对其贴补保费，没有抵押贷款贴息力度大。造成了这些企业推迟或是延误了扩张规模的时机，使小微企业在竞争中处于不利地位。二是随着区域经济的发展，银行各种贷款品种种类繁多，金融业务量逐步上升，银行贷款经办人员线上提交申请资料、后期线上提交贷款补贴手续等操作存在不及时等问题，不能做到和贷款企业、工会贴息部门有效衔接，银行经办人员后期积极性不高。</w:t>
      </w:r>
    </w:p>
    <w:p>
      <w:pPr>
        <w:widowControl/>
        <w:spacing w:before="150" w:after="150"/>
        <w:ind w:firstLine="640" w:firstLineChars="200"/>
        <w:jc w:val="left"/>
        <w:rPr>
          <w:rFonts w:ascii="黑体" w:hAnsi="黑体" w:eastAsia="黑体" w:cs="黑体"/>
          <w:kern w:val="0"/>
          <w:sz w:val="32"/>
          <w:szCs w:val="32"/>
          <w:highlight w:val="yellow"/>
        </w:rPr>
      </w:pPr>
      <w:r>
        <w:rPr>
          <w:rFonts w:hint="eastAsia" w:ascii="黑体" w:hAnsi="黑体" w:eastAsia="黑体" w:cs="黑体"/>
          <w:kern w:val="0"/>
          <w:sz w:val="32"/>
          <w:szCs w:val="32"/>
          <w:highlight w:val="yellow"/>
        </w:rPr>
        <w:t>四、下步打算</w:t>
      </w:r>
    </w:p>
    <w:p>
      <w:pPr>
        <w:ind w:firstLine="643" w:firstLineChars="200"/>
        <w:rPr>
          <w:rFonts w:ascii="仿宋" w:hAnsi="仿宋" w:eastAsia="仿宋"/>
          <w:sz w:val="32"/>
          <w:szCs w:val="32"/>
        </w:rPr>
      </w:pPr>
      <w:r>
        <w:rPr>
          <w:rFonts w:hint="eastAsia" w:ascii="楷体" w:hAnsi="楷体" w:eastAsia="楷体" w:cs="楷体"/>
          <w:b/>
          <w:bCs/>
          <w:color w:val="333333"/>
          <w:kern w:val="0"/>
          <w:sz w:val="32"/>
          <w:szCs w:val="32"/>
        </w:rPr>
        <w:t>（一）</w:t>
      </w:r>
      <w:r>
        <w:rPr>
          <w:rFonts w:hint="eastAsia" w:ascii="楷体" w:hAnsi="楷体" w:eastAsia="楷体" w:cs="楷体"/>
          <w:b/>
          <w:bCs/>
          <w:sz w:val="32"/>
          <w:szCs w:val="32"/>
        </w:rPr>
        <w:t>增加年度贷款额度，开展相关业务政策培训。</w:t>
      </w:r>
      <w:r>
        <w:rPr>
          <w:rFonts w:hint="eastAsia" w:ascii="仿宋" w:hAnsi="仿宋" w:eastAsia="仿宋"/>
          <w:sz w:val="32"/>
          <w:szCs w:val="32"/>
          <w:lang w:val="en-US" w:eastAsia="zh-CN"/>
        </w:rPr>
        <w:t>2023年计划目标</w:t>
      </w:r>
      <w:r>
        <w:rPr>
          <w:rFonts w:hint="eastAsia" w:ascii="仿宋" w:hAnsi="仿宋" w:eastAsia="仿宋"/>
          <w:sz w:val="32"/>
          <w:szCs w:val="32"/>
        </w:rPr>
        <w:t>贷款1个亿；“工惠贷”项目向</w:t>
      </w:r>
      <w:r>
        <w:rPr>
          <w:rFonts w:hint="eastAsia" w:ascii="仿宋" w:hAnsi="仿宋" w:eastAsia="仿宋"/>
          <w:sz w:val="32"/>
          <w:szCs w:val="32"/>
          <w:lang w:val="en-US" w:eastAsia="zh-CN"/>
        </w:rPr>
        <w:t>7</w:t>
      </w:r>
      <w:r>
        <w:rPr>
          <w:rFonts w:hint="eastAsia" w:ascii="仿宋" w:hAnsi="仿宋" w:eastAsia="仿宋"/>
          <w:sz w:val="32"/>
          <w:szCs w:val="32"/>
        </w:rPr>
        <w:t>县（市）拓展，</w:t>
      </w:r>
      <w:r>
        <w:rPr>
          <w:rFonts w:hint="eastAsia" w:ascii="仿宋" w:hAnsi="仿宋" w:eastAsia="仿宋"/>
          <w:sz w:val="32"/>
          <w:szCs w:val="32"/>
          <w:lang w:val="en-US" w:eastAsia="zh-CN"/>
        </w:rPr>
        <w:t>7县（市）区</w:t>
      </w:r>
      <w:r>
        <w:rPr>
          <w:rFonts w:hint="eastAsia" w:ascii="仿宋" w:hAnsi="仿宋" w:eastAsia="仿宋"/>
          <w:sz w:val="32"/>
          <w:szCs w:val="32"/>
        </w:rPr>
        <w:t>发放贷款</w:t>
      </w:r>
      <w:r>
        <w:rPr>
          <w:rFonts w:hint="eastAsia" w:ascii="仿宋" w:hAnsi="仿宋" w:eastAsia="仿宋"/>
          <w:sz w:val="32"/>
          <w:szCs w:val="32"/>
          <w:lang w:val="en-US" w:eastAsia="zh-CN"/>
        </w:rPr>
        <w:t>3</w:t>
      </w:r>
      <w:r>
        <w:rPr>
          <w:rFonts w:hint="eastAsia" w:ascii="仿宋" w:hAnsi="仿宋" w:eastAsia="仿宋"/>
          <w:sz w:val="32"/>
          <w:szCs w:val="32"/>
        </w:rPr>
        <w:t>500万元</w:t>
      </w:r>
      <w:r>
        <w:rPr>
          <w:rFonts w:hint="eastAsia" w:ascii="仿宋" w:hAnsi="仿宋" w:eastAsia="仿宋"/>
          <w:sz w:val="32"/>
          <w:szCs w:val="32"/>
          <w:lang w:eastAsia="zh-CN"/>
        </w:rPr>
        <w:t>，</w:t>
      </w:r>
      <w:r>
        <w:rPr>
          <w:rFonts w:hint="eastAsia" w:ascii="仿宋" w:hAnsi="仿宋" w:eastAsia="仿宋"/>
          <w:sz w:val="32"/>
          <w:szCs w:val="32"/>
          <w:lang w:val="en-US" w:eastAsia="zh-CN"/>
        </w:rPr>
        <w:t>市本级6500万元。</w:t>
      </w:r>
      <w:r>
        <w:rPr>
          <w:rFonts w:hint="eastAsia" w:ascii="仿宋" w:hAnsi="仿宋" w:eastAsia="仿宋" w:cs="宋体"/>
          <w:color w:val="333333"/>
          <w:kern w:val="0"/>
          <w:sz w:val="32"/>
          <w:szCs w:val="32"/>
        </w:rPr>
        <w:t>通过该业务扩大到各县为契机，适时对市县区工惠贷项目经办人员、江苏银行各支行经办人员开展工惠贷线上申请审批系统业务工作培训，对贷款（补贴）的对象、条件、流程、线上系统运用进行详细的解析，力争做到业务经办人人懂政策、熟流程，为职工创业贷款解难答疑。</w:t>
      </w:r>
    </w:p>
    <w:p>
      <w:pPr>
        <w:ind w:firstLine="643" w:firstLineChars="200"/>
        <w:rPr>
          <w:rFonts w:ascii="仿宋" w:hAnsi="仿宋" w:eastAsia="仿宋"/>
          <w:sz w:val="32"/>
          <w:szCs w:val="32"/>
        </w:rPr>
      </w:pPr>
      <w:r>
        <w:rPr>
          <w:rFonts w:hint="eastAsia" w:ascii="楷体" w:hAnsi="楷体" w:eastAsia="楷体" w:cs="楷体"/>
          <w:b/>
          <w:bCs/>
          <w:sz w:val="32"/>
          <w:szCs w:val="32"/>
        </w:rPr>
        <w:t>（二）严把“三个关口”，确保工作质量和资金效益。</w:t>
      </w:r>
      <w:r>
        <w:rPr>
          <w:rFonts w:hint="eastAsia" w:ascii="仿宋" w:hAnsi="仿宋" w:eastAsia="仿宋"/>
          <w:sz w:val="32"/>
          <w:szCs w:val="32"/>
        </w:rPr>
        <w:t>一是严把贷前资格审查关，进一步加大对新创企业的扶持力度，贷款资金发放向成立五年内中小企业倾斜。对于带动稳岗就业人数不足5人的、不是近5年内创业的小微企业和国家明确规定不纳入贴息范围的建筑房地产、教育培训、洗浴、网吧、娱乐等项目，在审核时严格把关，坚决退回。二是严把贷后服务关，建立贷后贴息资料台账，加强跟踪监督服务。加强与银行的联系协作，对贷款资金情况、使用效果进行跟踪监督、评价，并做好跟踪服务工作。实行一季度一跟踪，随时了解贷款人动态。三是严把贷款风险关，</w:t>
      </w:r>
      <w:r>
        <w:rPr>
          <w:rFonts w:hint="eastAsia" w:ascii="仿宋" w:hAnsi="仿宋" w:eastAsia="仿宋" w:cs="宋体"/>
          <w:bCs/>
          <w:color w:val="333333"/>
          <w:kern w:val="0"/>
          <w:sz w:val="32"/>
          <w:szCs w:val="32"/>
        </w:rPr>
        <w:t>加大风险预警，规范业务操作。</w:t>
      </w:r>
    </w:p>
    <w:p>
      <w:pPr>
        <w:widowControl/>
        <w:spacing w:before="150" w:after="150"/>
        <w:ind w:firstLine="643" w:firstLineChars="200"/>
        <w:jc w:val="left"/>
        <w:rPr>
          <w:rFonts w:hint="eastAsia" w:ascii="宋体" w:hAnsi="宋体" w:eastAsia="仿宋" w:cs="宋体"/>
          <w:color w:val="333333"/>
          <w:kern w:val="0"/>
          <w:sz w:val="32"/>
          <w:szCs w:val="32"/>
        </w:rPr>
      </w:pPr>
      <w:r>
        <w:rPr>
          <w:rFonts w:hint="eastAsia" w:ascii="楷体" w:hAnsi="楷体" w:eastAsia="楷体" w:cs="楷体"/>
          <w:b/>
          <w:color w:val="333333"/>
          <w:kern w:val="0"/>
          <w:sz w:val="32"/>
          <w:szCs w:val="32"/>
        </w:rPr>
        <w:t>（三）</w:t>
      </w:r>
      <w:r>
        <w:rPr>
          <w:rFonts w:hint="eastAsia" w:ascii="楷体" w:hAnsi="楷体" w:eastAsia="楷体" w:cs="楷体"/>
          <w:b/>
          <w:color w:val="000000"/>
          <w:sz w:val="32"/>
          <w:szCs w:val="32"/>
        </w:rPr>
        <w:t>加强媒体宣传力度。</w:t>
      </w:r>
      <w:r>
        <w:rPr>
          <w:rFonts w:hint="eastAsia" w:ascii="仿宋" w:hAnsi="仿宋" w:eastAsia="仿宋"/>
          <w:color w:val="000000"/>
          <w:sz w:val="32"/>
          <w:szCs w:val="32"/>
        </w:rPr>
        <w:t>引导社会各界关注、关心中小微企业的成长和发展，在全社会营造浓厚的实体经济创业氛围，进一步提振企业家搞实业、发展实体经济的信心指数。</w:t>
      </w:r>
      <w:r>
        <w:rPr>
          <w:rFonts w:hint="eastAsia" w:ascii="仿宋" w:hAnsi="仿宋" w:eastAsia="仿宋" w:cs="宋体"/>
          <w:color w:val="333333"/>
          <w:kern w:val="0"/>
          <w:sz w:val="32"/>
          <w:szCs w:val="32"/>
        </w:rPr>
        <w:t>依托享受工惠贷贴息创业企业和个人树立典型，形成示范案例加以推广，对创业带动就业人数较多的中小微企业，授予10家创业典型基地，以点带面，发挥好创业示范引领作用。</w:t>
      </w:r>
      <w:r>
        <w:rPr>
          <w:rFonts w:hint="eastAsia" w:ascii="宋体" w:hAnsi="宋体" w:eastAsia="仿宋" w:cs="宋体"/>
          <w:color w:val="333333"/>
          <w:kern w:val="0"/>
          <w:sz w:val="32"/>
          <w:szCs w:val="32"/>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五、经验启示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rPr>
        <w:t>、找准定位是做好工作的前提。市总工会党组高度重视促进就业创业工</w:t>
      </w:r>
      <w:bookmarkStart w:id="0" w:name="_GoBack"/>
      <w:bookmarkEnd w:id="0"/>
      <w:r>
        <w:rPr>
          <w:rFonts w:hint="eastAsia" w:ascii="仿宋" w:hAnsi="仿宋" w:eastAsia="仿宋" w:cs="仿宋"/>
          <w:sz w:val="32"/>
          <w:szCs w:val="32"/>
        </w:rPr>
        <w:t>作，将帮助</w:t>
      </w:r>
      <w:r>
        <w:rPr>
          <w:rFonts w:hint="eastAsia" w:ascii="仿宋" w:hAnsi="仿宋" w:eastAsia="仿宋" w:cs="仿宋"/>
          <w:sz w:val="32"/>
          <w:szCs w:val="32"/>
          <w:lang w:val="en-US" w:eastAsia="zh-CN"/>
        </w:rPr>
        <w:t>职工</w:t>
      </w:r>
      <w:r>
        <w:rPr>
          <w:rFonts w:hint="eastAsia" w:ascii="仿宋" w:hAnsi="仿宋" w:eastAsia="仿宋" w:cs="仿宋"/>
          <w:sz w:val="32"/>
          <w:szCs w:val="32"/>
        </w:rPr>
        <w:t>解决就业创业中遇到的融资难、担保难、贷款难等问题，作为工会的一项主要目标和有力抓手，全面深化促进就业创业工作。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、合理谋划是做好工作的保障。一是经过广泛调研、科学论证，制定切实可行的工作方案。二是与合作单位深入交流洽谈，签订合作协议。三是每年初将此项工作纳入全年工作目标考核内容。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rPr>
        <w:t>、措施得力是做好工作的关键。通过创新扶持方法推动、明确扶持对象带动、改进扶持模式联动、提高扶持贴息驱动的“四动”举措，不断完善工作机制、强化服务意识、提高工作效率，确保“</w:t>
      </w:r>
      <w:r>
        <w:rPr>
          <w:rFonts w:hint="eastAsia" w:ascii="仿宋" w:hAnsi="仿宋" w:eastAsia="仿宋" w:cs="仿宋"/>
          <w:sz w:val="32"/>
          <w:szCs w:val="32"/>
          <w:lang w:val="en-US" w:eastAsia="zh-CN"/>
        </w:rPr>
        <w:t>工惠</w:t>
      </w:r>
      <w:r>
        <w:rPr>
          <w:rFonts w:hint="eastAsia" w:ascii="仿宋" w:hAnsi="仿宋" w:eastAsia="仿宋" w:cs="仿宋"/>
          <w:sz w:val="32"/>
          <w:szCs w:val="32"/>
        </w:rPr>
        <w:t>贷”在促进就业创业中发挥积极作用。</w:t>
      </w:r>
    </w:p>
    <w:p>
      <w:pPr>
        <w:keepNext w:val="0"/>
        <w:keepLines w:val="0"/>
        <w:widowControl/>
        <w:suppressLineNumbers w:val="0"/>
        <w:pBdr>
          <w:bottom w:val="single" w:color="E6E6E6" w:sz="6" w:space="0"/>
        </w:pBdr>
        <w:spacing w:before="750" w:beforeAutospacing="0"/>
        <w:jc w:val="left"/>
        <w:rPr>
          <w:rFonts w:hint="eastAsia" w:ascii="仿宋" w:hAnsi="仿宋" w:eastAsia="仿宋" w:cs="仿宋"/>
          <w:sz w:val="32"/>
          <w:szCs w:val="32"/>
        </w:rPr>
      </w:pPr>
    </w:p>
    <w:p>
      <w:pPr>
        <w:widowControl/>
        <w:spacing w:before="150" w:after="150"/>
        <w:ind w:firstLine="640" w:firstLineChars="200"/>
        <w:jc w:val="left"/>
        <w:rPr>
          <w:rFonts w:hint="eastAsia" w:ascii="宋体" w:hAnsi="宋体" w:eastAsia="仿宋" w:cs="宋体"/>
          <w:color w:val="333333"/>
          <w:kern w:val="0"/>
          <w:sz w:val="32"/>
          <w:szCs w:val="32"/>
        </w:rPr>
      </w:pPr>
    </w:p>
    <w:sectPr>
      <w:footerReference r:id="rId3" w:type="default"/>
      <w:pgSz w:w="11906" w:h="16838"/>
      <w:pgMar w:top="2041" w:right="1587"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Ybmry5wEAAMcD&#10;AAAOAAAAAAAAAAEAIAAAAB4BAABkcnMvZTJvRG9jLnhtbFBLBQYAAAAABgAGAFkBAAB3BQ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djMDZmOGVjNjU0NDMxNmNjZTgyYTBkYTM0YjI3YjgifQ=="/>
    <w:docVar w:name="KSO_WPS_MARK_KEY" w:val="1c882809-63ed-4d35-bc08-e351735d7ec5"/>
  </w:docVars>
  <w:rsids>
    <w:rsidRoot w:val="003A32C4"/>
    <w:rsid w:val="0004767F"/>
    <w:rsid w:val="00057242"/>
    <w:rsid w:val="000632D0"/>
    <w:rsid w:val="0007199C"/>
    <w:rsid w:val="000945D3"/>
    <w:rsid w:val="000A5270"/>
    <w:rsid w:val="000A7299"/>
    <w:rsid w:val="000F25AB"/>
    <w:rsid w:val="0010742F"/>
    <w:rsid w:val="00111DE6"/>
    <w:rsid w:val="00143682"/>
    <w:rsid w:val="001533F0"/>
    <w:rsid w:val="001539A0"/>
    <w:rsid w:val="00155959"/>
    <w:rsid w:val="001679B3"/>
    <w:rsid w:val="0018243F"/>
    <w:rsid w:val="001922C7"/>
    <w:rsid w:val="001C40C7"/>
    <w:rsid w:val="001C5DB8"/>
    <w:rsid w:val="001C6DF6"/>
    <w:rsid w:val="001F6F56"/>
    <w:rsid w:val="0020138B"/>
    <w:rsid w:val="00220959"/>
    <w:rsid w:val="002257ED"/>
    <w:rsid w:val="00230F6E"/>
    <w:rsid w:val="0023315C"/>
    <w:rsid w:val="0023539A"/>
    <w:rsid w:val="002442F8"/>
    <w:rsid w:val="00272F3C"/>
    <w:rsid w:val="002759A5"/>
    <w:rsid w:val="002918A9"/>
    <w:rsid w:val="00293332"/>
    <w:rsid w:val="002C2857"/>
    <w:rsid w:val="002D4677"/>
    <w:rsid w:val="00320D68"/>
    <w:rsid w:val="003279DB"/>
    <w:rsid w:val="003377C3"/>
    <w:rsid w:val="003524F4"/>
    <w:rsid w:val="00370A10"/>
    <w:rsid w:val="0039040B"/>
    <w:rsid w:val="003A32C4"/>
    <w:rsid w:val="003E2323"/>
    <w:rsid w:val="003E61F8"/>
    <w:rsid w:val="003E7C60"/>
    <w:rsid w:val="003F504C"/>
    <w:rsid w:val="003F6B5A"/>
    <w:rsid w:val="0045159E"/>
    <w:rsid w:val="0045244F"/>
    <w:rsid w:val="00471DB9"/>
    <w:rsid w:val="00476527"/>
    <w:rsid w:val="00480E31"/>
    <w:rsid w:val="00481F6C"/>
    <w:rsid w:val="00504A1A"/>
    <w:rsid w:val="00523BCD"/>
    <w:rsid w:val="0056511E"/>
    <w:rsid w:val="00574987"/>
    <w:rsid w:val="005A4C93"/>
    <w:rsid w:val="005A51B3"/>
    <w:rsid w:val="006054DF"/>
    <w:rsid w:val="00616DD0"/>
    <w:rsid w:val="00626E1C"/>
    <w:rsid w:val="006418DC"/>
    <w:rsid w:val="00651C32"/>
    <w:rsid w:val="006D1C3B"/>
    <w:rsid w:val="006E0F6F"/>
    <w:rsid w:val="006E6E15"/>
    <w:rsid w:val="00733CCD"/>
    <w:rsid w:val="0074221D"/>
    <w:rsid w:val="007672C7"/>
    <w:rsid w:val="007943C1"/>
    <w:rsid w:val="007949BD"/>
    <w:rsid w:val="007F1440"/>
    <w:rsid w:val="007F3D82"/>
    <w:rsid w:val="00821F29"/>
    <w:rsid w:val="00822411"/>
    <w:rsid w:val="00881C3A"/>
    <w:rsid w:val="008B7FA8"/>
    <w:rsid w:val="008F33AB"/>
    <w:rsid w:val="008F60AD"/>
    <w:rsid w:val="00903B1C"/>
    <w:rsid w:val="00912286"/>
    <w:rsid w:val="00944F8D"/>
    <w:rsid w:val="00955B81"/>
    <w:rsid w:val="009A4106"/>
    <w:rsid w:val="009A60A0"/>
    <w:rsid w:val="009D17A0"/>
    <w:rsid w:val="009E5D0C"/>
    <w:rsid w:val="00A13E8B"/>
    <w:rsid w:val="00A15906"/>
    <w:rsid w:val="00A836A8"/>
    <w:rsid w:val="00A83DDE"/>
    <w:rsid w:val="00A96E6E"/>
    <w:rsid w:val="00AB67AE"/>
    <w:rsid w:val="00AE71F2"/>
    <w:rsid w:val="00AF418B"/>
    <w:rsid w:val="00AF6EE1"/>
    <w:rsid w:val="00B14970"/>
    <w:rsid w:val="00B50549"/>
    <w:rsid w:val="00B62AD0"/>
    <w:rsid w:val="00BB5BE1"/>
    <w:rsid w:val="00BC7640"/>
    <w:rsid w:val="00BD09C5"/>
    <w:rsid w:val="00BD3CCD"/>
    <w:rsid w:val="00BF3FC3"/>
    <w:rsid w:val="00C437D8"/>
    <w:rsid w:val="00C5027F"/>
    <w:rsid w:val="00C61370"/>
    <w:rsid w:val="00C84D81"/>
    <w:rsid w:val="00C939D0"/>
    <w:rsid w:val="00CB2629"/>
    <w:rsid w:val="00CB3C74"/>
    <w:rsid w:val="00D2492B"/>
    <w:rsid w:val="00D82B82"/>
    <w:rsid w:val="00D978B8"/>
    <w:rsid w:val="00DA68B3"/>
    <w:rsid w:val="00DB7E58"/>
    <w:rsid w:val="00DD04D8"/>
    <w:rsid w:val="00DF6E73"/>
    <w:rsid w:val="00E0022C"/>
    <w:rsid w:val="00E10E87"/>
    <w:rsid w:val="00E117C5"/>
    <w:rsid w:val="00E16A1E"/>
    <w:rsid w:val="00E178CE"/>
    <w:rsid w:val="00E37B21"/>
    <w:rsid w:val="00E41055"/>
    <w:rsid w:val="00E42A12"/>
    <w:rsid w:val="00E43042"/>
    <w:rsid w:val="00E47A78"/>
    <w:rsid w:val="00E54EF7"/>
    <w:rsid w:val="00E77E4D"/>
    <w:rsid w:val="00EA4AC7"/>
    <w:rsid w:val="00EB5FC2"/>
    <w:rsid w:val="00EC600F"/>
    <w:rsid w:val="00EE0ECA"/>
    <w:rsid w:val="00EE3E52"/>
    <w:rsid w:val="00F36131"/>
    <w:rsid w:val="00F51C01"/>
    <w:rsid w:val="00F70716"/>
    <w:rsid w:val="00F813CE"/>
    <w:rsid w:val="00F96014"/>
    <w:rsid w:val="00FE06F1"/>
    <w:rsid w:val="00FE1287"/>
    <w:rsid w:val="071145EE"/>
    <w:rsid w:val="07D95235"/>
    <w:rsid w:val="0AF95946"/>
    <w:rsid w:val="0DFA4D52"/>
    <w:rsid w:val="15895407"/>
    <w:rsid w:val="17B753DB"/>
    <w:rsid w:val="1C8F1DBE"/>
    <w:rsid w:val="20C50093"/>
    <w:rsid w:val="20EE50D7"/>
    <w:rsid w:val="21FD7AE8"/>
    <w:rsid w:val="27A1445A"/>
    <w:rsid w:val="281E331B"/>
    <w:rsid w:val="2DCB5C47"/>
    <w:rsid w:val="2F6476B4"/>
    <w:rsid w:val="30A9726C"/>
    <w:rsid w:val="33900B2E"/>
    <w:rsid w:val="33F00D0E"/>
    <w:rsid w:val="388552FC"/>
    <w:rsid w:val="39AA4BB7"/>
    <w:rsid w:val="3AA37FFC"/>
    <w:rsid w:val="3C5D2A67"/>
    <w:rsid w:val="3C8C4DE3"/>
    <w:rsid w:val="3EF16A2F"/>
    <w:rsid w:val="3F751885"/>
    <w:rsid w:val="43C75BC3"/>
    <w:rsid w:val="43FA57FC"/>
    <w:rsid w:val="44355499"/>
    <w:rsid w:val="447B2027"/>
    <w:rsid w:val="45612F54"/>
    <w:rsid w:val="47583285"/>
    <w:rsid w:val="4B242E3B"/>
    <w:rsid w:val="509968AD"/>
    <w:rsid w:val="50CC60D0"/>
    <w:rsid w:val="570C36A1"/>
    <w:rsid w:val="59311735"/>
    <w:rsid w:val="61285979"/>
    <w:rsid w:val="63862845"/>
    <w:rsid w:val="653F709E"/>
    <w:rsid w:val="655E12F0"/>
    <w:rsid w:val="660E4440"/>
    <w:rsid w:val="665718E3"/>
    <w:rsid w:val="67395D62"/>
    <w:rsid w:val="685E5C6B"/>
    <w:rsid w:val="6D416F34"/>
    <w:rsid w:val="73C13552"/>
    <w:rsid w:val="794447B2"/>
    <w:rsid w:val="7AE72302"/>
    <w:rsid w:val="7C4A11EE"/>
    <w:rsid w:val="7C8B53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smallfont"/>
    <w:basedOn w:val="8"/>
    <w:qFormat/>
    <w:uiPriority w:val="0"/>
  </w:style>
  <w:style w:type="character" w:customStyle="1" w:styleId="14">
    <w:name w:val="medfont"/>
    <w:basedOn w:val="8"/>
    <w:qFormat/>
    <w:uiPriority w:val="0"/>
  </w:style>
  <w:style w:type="character" w:customStyle="1" w:styleId="15">
    <w:name w:val="largefont"/>
    <w:basedOn w:val="8"/>
    <w:qFormat/>
    <w:uiPriority w:val="0"/>
  </w:style>
  <w:style w:type="character" w:customStyle="1" w:styleId="16">
    <w:name w:val="批注框文本 Char"/>
    <w:basedOn w:val="8"/>
    <w:link w:val="3"/>
    <w:semiHidden/>
    <w:qFormat/>
    <w:uiPriority w:val="99"/>
    <w:rPr>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AC\Documents\WeChat%20Files\wxid_7801808018612\FileStorage\MsgAttach\9e20f478899dc29eb19741386f9343c8\File\2022-12\&#25968;&#2545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MAC\Documents\WeChat%20Files\wxid_7801808018612\FileStorage\MsgAttach\9e20f478899dc29eb19741386f9343c8\File\2022-12\&#25968;&#2545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MAC\Documents\WeChat%20Files\wxid_7801808018612\FileStorage\MsgAttach\9e20f478899dc29eb19741386f9343c8\File\2022-12\&#25968;&#25454;.xlsx"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E:\&#23458;&#25143;&#36164;&#26009;\x&#24464;&#24030;&#24635;&#24037;&#20250;\2020&#24037;&#24800;&#36151;\&#27719;&#25253;&#36164;&#26009;\&#25968;&#25454;.xlsx"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E:\&#23458;&#25143;&#36164;&#26009;\x&#24464;&#24030;&#24635;&#24037;&#20250;\2020&#24037;&#24800;&#36151;\&#27719;&#25253;&#36164;&#26009;\&#25968;&#25454;.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MAC\Documents\WeChat%20Files\wxid_7801808018612\FileStorage\MsgAttach\9e20f478899dc29eb19741386f9343c8\File\2022-12\&#25968;&#25454;.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MAC\Documents\WeChat%20Files\wxid_7801808018612\FileStorage\MsgAttach\9e20f478899dc29eb19741386f9343c8\File\2022-12\&#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600" b="1">
                <a:solidFill>
                  <a:schemeClr val="tx1"/>
                </a:solidFill>
                <a:uFillTx/>
                <a:ea typeface="微软雅黑" panose="020B0503020204020204" pitchFamily="2" charset="-122"/>
              </a:rPr>
              <a:t>2019-2022</a:t>
            </a:r>
            <a:r>
              <a:rPr altLang="en-US" sz="1600" b="1">
                <a:solidFill>
                  <a:schemeClr val="tx1"/>
                </a:solidFill>
                <a:uFillTx/>
                <a:ea typeface="微软雅黑" panose="020B0503020204020204" pitchFamily="2" charset="-122"/>
              </a:rPr>
              <a:t>年</a:t>
            </a:r>
            <a:r>
              <a:rPr sz="1600" b="1">
                <a:solidFill>
                  <a:schemeClr val="tx1"/>
                </a:solidFill>
                <a:uFillTx/>
                <a:ea typeface="微软雅黑" panose="020B0503020204020204" pitchFamily="2" charset="-122"/>
              </a:rPr>
              <a:t>创业担保贷款累计发放情况</a:t>
            </a:r>
            <a:endParaRPr sz="1600" b="1">
              <a:solidFill>
                <a:schemeClr val="tx1"/>
              </a:solidFill>
              <a:uFillTx/>
              <a:ea typeface="微软雅黑" panose="020B0503020204020204" pitchFamily="2" charset="-122"/>
            </a:endParaRPr>
          </a:p>
        </c:rich>
      </c:tx>
      <c:layout>
        <c:manualLayout>
          <c:xMode val="edge"/>
          <c:yMode val="edge"/>
          <c:x val="0.318398035906092"/>
          <c:y val="0.0110714725058433"/>
        </c:manualLayout>
      </c:layout>
      <c:overlay val="0"/>
      <c:spPr>
        <a:noFill/>
        <a:ln>
          <a:noFill/>
        </a:ln>
        <a:effectLst/>
      </c:spPr>
    </c:title>
    <c:autoTitleDeleted val="0"/>
    <c:plotArea>
      <c:layout/>
      <c:barChart>
        <c:barDir val="col"/>
        <c:grouping val="clustered"/>
        <c:varyColors val="0"/>
        <c:ser>
          <c:idx val="0"/>
          <c:order val="0"/>
          <c:tx>
            <c:strRef>
              <c:f>[数据.xlsx]创业担保贷!$A$26</c:f>
              <c:strCache>
                <c:ptCount val="1"/>
                <c:pt idx="0">
                  <c:v>帮扶企业数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[数据.xlsx]创业担保贷!$B$25:$E$25</c:f>
              <c:strCache>
                <c:ptCount val="4"/>
                <c:pt idx="0">
                  <c:v>2019年</c:v>
                </c:pt>
                <c:pt idx="1">
                  <c:v>2020年</c:v>
                </c:pt>
                <c:pt idx="2">
                  <c:v>2021年</c:v>
                </c:pt>
                <c:pt idx="3">
                  <c:v>2022年</c:v>
                </c:pt>
              </c:strCache>
            </c:strRef>
          </c:cat>
          <c:val>
            <c:numRef>
              <c:f>[数据.xlsx]创业担保贷!$B$26:$E$26</c:f>
              <c:numCache>
                <c:formatCode>General</c:formatCode>
                <c:ptCount val="4"/>
                <c:pt idx="0">
                  <c:v>41</c:v>
                </c:pt>
                <c:pt idx="1">
                  <c:v>129</c:v>
                </c:pt>
                <c:pt idx="2">
                  <c:v>186</c:v>
                </c:pt>
                <c:pt idx="3">
                  <c:v>316</c:v>
                </c:pt>
              </c:numCache>
            </c:numRef>
          </c:val>
        </c:ser>
        <c:ser>
          <c:idx val="1"/>
          <c:order val="1"/>
          <c:tx>
            <c:strRef>
              <c:f>[数据.xlsx]创业担保贷!$A$27</c:f>
              <c:strCache>
                <c:ptCount val="1"/>
                <c:pt idx="0">
                  <c:v>带动就业人数</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[数据.xlsx]创业担保贷!$B$25:$E$25</c:f>
              <c:strCache>
                <c:ptCount val="4"/>
                <c:pt idx="0">
                  <c:v>2019年</c:v>
                </c:pt>
                <c:pt idx="1">
                  <c:v>2020年</c:v>
                </c:pt>
                <c:pt idx="2">
                  <c:v>2021年</c:v>
                </c:pt>
                <c:pt idx="3">
                  <c:v>2022年</c:v>
                </c:pt>
              </c:strCache>
            </c:strRef>
          </c:cat>
          <c:val>
            <c:numRef>
              <c:f>[数据.xlsx]创业担保贷!$B$27:$E$27</c:f>
              <c:numCache>
                <c:formatCode>General</c:formatCode>
                <c:ptCount val="4"/>
                <c:pt idx="0">
                  <c:v>1296</c:v>
                </c:pt>
                <c:pt idx="1">
                  <c:v>2381</c:v>
                </c:pt>
                <c:pt idx="2">
                  <c:v>2696</c:v>
                </c:pt>
                <c:pt idx="3">
                  <c:v>7080</c:v>
                </c:pt>
              </c:numCache>
            </c:numRef>
          </c:val>
        </c:ser>
        <c:ser>
          <c:idx val="2"/>
          <c:order val="2"/>
          <c:tx>
            <c:strRef>
              <c:f>[数据.xlsx]创业担保贷!$A$28</c:f>
              <c:strCache>
                <c:ptCount val="1"/>
                <c:pt idx="0">
                  <c:v>发放金额</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[数据.xlsx]创业担保贷!$B$25:$E$25</c:f>
              <c:strCache>
                <c:ptCount val="4"/>
                <c:pt idx="0">
                  <c:v>2019年</c:v>
                </c:pt>
                <c:pt idx="1">
                  <c:v>2020年</c:v>
                </c:pt>
                <c:pt idx="2">
                  <c:v>2021年</c:v>
                </c:pt>
                <c:pt idx="3">
                  <c:v>2022年</c:v>
                </c:pt>
              </c:strCache>
            </c:strRef>
          </c:cat>
          <c:val>
            <c:numRef>
              <c:f>[数据.xlsx]创业担保贷!$B$28:$E$28</c:f>
              <c:numCache>
                <c:formatCode>General</c:formatCode>
                <c:ptCount val="4"/>
                <c:pt idx="0">
                  <c:v>1625</c:v>
                </c:pt>
                <c:pt idx="1">
                  <c:v>5776</c:v>
                </c:pt>
                <c:pt idx="2">
                  <c:v>9290</c:v>
                </c:pt>
                <c:pt idx="3">
                  <c:v>15078</c:v>
                </c:pt>
              </c:numCache>
            </c:numRef>
          </c:val>
        </c:ser>
        <c:dLbls>
          <c:showLegendKey val="0"/>
          <c:showVal val="1"/>
          <c:showCatName val="0"/>
          <c:showSerName val="0"/>
          <c:showPercent val="0"/>
          <c:showBubbleSize val="0"/>
        </c:dLbls>
        <c:gapWidth val="219"/>
        <c:overlap val="-27"/>
        <c:axId val="723979437"/>
        <c:axId val="676285398"/>
      </c:barChart>
      <c:catAx>
        <c:axId val="72397943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6285398"/>
        <c:crosses val="autoZero"/>
        <c:auto val="1"/>
        <c:lblAlgn val="ctr"/>
        <c:lblOffset val="100"/>
        <c:noMultiLvlLbl val="0"/>
      </c:catAx>
      <c:valAx>
        <c:axId val="676285398"/>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sz="1400" b="1">
                    <a:solidFill>
                      <a:schemeClr val="tx1"/>
                    </a:solidFill>
                    <a:uFillTx/>
                    <a:latin typeface="微软雅黑" panose="020B0503020204020204" pitchFamily="2" charset="-122"/>
                    <a:ea typeface="微软雅黑" panose="020B0503020204020204" pitchFamily="2" charset="-122"/>
                  </a:rPr>
                  <a:t>单位：家、人、万元</a:t>
                </a:r>
                <a:endParaRPr sz="1400" b="1">
                  <a:solidFill>
                    <a:schemeClr val="tx1"/>
                  </a:solidFill>
                  <a:uFillTx/>
                  <a:latin typeface="微软雅黑" panose="020B0503020204020204" pitchFamily="2" charset="-122"/>
                  <a:ea typeface="微软雅黑" panose="020B0503020204020204" pitchFamily="2" charset="-122"/>
                </a:endParaRPr>
              </a:p>
            </c:rich>
          </c:tx>
          <c:layout>
            <c:manualLayout>
              <c:xMode val="edge"/>
              <c:yMode val="edge"/>
              <c:x val="0.0260856222188123"/>
              <c:y val="0.174707836142207"/>
            </c:manualLayout>
          </c:layout>
          <c:overlay val="0"/>
          <c:spPr>
            <a:noFill/>
            <a:ln>
              <a:noFill/>
            </a:ln>
            <a:effectLst/>
          </c:spPr>
        </c:title>
        <c:numFmt formatCode="General" sourceLinked="1"/>
        <c:majorTickMark val="out"/>
        <c:minorTickMark val="none"/>
        <c:tickLblPos val="nextTo"/>
        <c:spPr>
          <a:solidFill>
            <a:schemeClr val="bg1"/>
          </a:solidFill>
          <a:ln w="12700" cmpd="sng">
            <a:solidFill>
              <a:schemeClr val="tx1"/>
            </a:solidFill>
            <a:prstDash val="soli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979437"/>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微软雅黑" panose="020B0503020204020204" pitchFamily="2" charset="-122"/>
                <a:cs typeface="+mn-cs"/>
              </a:defRPr>
            </a:pPr>
          </a:p>
        </c:txPr>
      </c:dTable>
      <c:spPr>
        <a:noFill/>
        <a:ln w="12700" cmpd="sng">
          <a:noFill/>
          <a:prstDash val="solid"/>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a:defRPr lang="zh-CN" sz="1400" b="1" i="0" u="none" strike="noStrike" kern="1200" baseline="0">
                <a:solidFill>
                  <a:schemeClr val="dk1">
                    <a:lumMod val="75000"/>
                    <a:lumOff val="25000"/>
                  </a:schemeClr>
                </a:solidFill>
                <a:latin typeface="+mn-lt"/>
                <a:ea typeface="+mn-ea"/>
                <a:cs typeface="+mn-cs"/>
              </a:defRPr>
            </a:pPr>
            <a:r>
              <a:rPr sz="2000">
                <a:solidFill>
                  <a:schemeClr val="tx1"/>
                </a:solidFill>
                <a:uFillTx/>
                <a:ea typeface="微软雅黑" panose="020B0503020204020204" pitchFamily="2" charset="-122"/>
              </a:rPr>
              <a:t>扶持对象分布</a:t>
            </a:r>
            <a:endParaRPr sz="2000">
              <a:solidFill>
                <a:schemeClr val="tx1"/>
              </a:solidFill>
              <a:uFillTx/>
              <a:ea typeface="微软雅黑" panose="020B0503020204020204" pitchFamily="2" charset="-122"/>
            </a:endParaRPr>
          </a:p>
          <a:p>
            <a:pPr>
              <a:defRPr lang="zh-CN" sz="1400" b="1" i="0" u="none" strike="noStrike" kern="1200" baseline="0">
                <a:solidFill>
                  <a:schemeClr val="dk1">
                    <a:lumMod val="75000"/>
                    <a:lumOff val="25000"/>
                  </a:schemeClr>
                </a:solidFill>
                <a:latin typeface="+mn-lt"/>
                <a:ea typeface="+mn-ea"/>
                <a:cs typeface="+mn-cs"/>
              </a:defRPr>
            </a:pPr>
            <a:endParaRPr sz="2000">
              <a:solidFill>
                <a:schemeClr val="tx1"/>
              </a:solidFill>
              <a:uFillTx/>
              <a:ea typeface="微软雅黑" panose="020B0503020204020204" pitchFamily="2" charset="-122"/>
            </a:endParaRPr>
          </a:p>
        </c:rich>
      </c:tx>
      <c:layout>
        <c:manualLayout>
          <c:xMode val="edge"/>
          <c:yMode val="edge"/>
          <c:x val="0.380217606330366"/>
          <c:y val="0.0594353640416048"/>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37%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39%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15%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[数据.xlsx]扶持对象分布!$A$1:$A$4</c:f>
              <c:strCache>
                <c:ptCount val="4"/>
                <c:pt idx="0">
                  <c:v>城镇登记失业人员</c:v>
                </c:pt>
                <c:pt idx="1">
                  <c:v>应届高校毕业生</c:v>
                </c:pt>
                <c:pt idx="2">
                  <c:v>失地农民和返乡创业农民</c:v>
                </c:pt>
                <c:pt idx="3">
                  <c:v>其他从业人员</c:v>
                </c:pt>
              </c:strCache>
            </c:strRef>
          </c:cat>
          <c:val>
            <c:numRef>
              <c:f>[数据.xlsx]扶持对象分布!$B$1:$B$4</c:f>
              <c:numCache>
                <c:formatCode>General</c:formatCode>
                <c:ptCount val="4"/>
                <c:pt idx="0">
                  <c:v>229</c:v>
                </c:pt>
                <c:pt idx="1">
                  <c:v>243</c:v>
                </c:pt>
                <c:pt idx="2">
                  <c:v>56</c:v>
                </c:pt>
                <c:pt idx="3">
                  <c:v>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9844374617154"/>
          <c:y val="0.260471946023089"/>
          <c:w val="0.315833333333333"/>
          <c:h val="0.614583333333333"/>
        </c:manualLayout>
      </c:layout>
      <c:overlay val="0"/>
      <c:spPr>
        <a:solidFill>
          <a:sysClr val="window" lastClr="FFFFFF">
            <a:alpha val="39000"/>
          </a:sysClr>
        </a:solidFill>
        <a:ln>
          <a:noFill/>
        </a:ln>
        <a:effectLst/>
      </c:spPr>
      <c:txPr>
        <a:bodyPr rot="0" spcFirstLastPara="0" vertOverflow="ellipsis" vert="horz" wrap="square" anchor="ctr" anchorCtr="1" forceAA="0"/>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微软雅黑" panose="020B0503020204020204" pitchFamily="2" charset="-122"/>
              <a:cs typeface="+mn-cs"/>
            </a:defRPr>
          </a:pPr>
        </a:p>
      </c:txPr>
    </c:legend>
    <c:plotVisOnly val="1"/>
    <c:dispBlanksAs val="gap"/>
    <c:showDLblsOverMax val="0"/>
  </c:chart>
  <c:spPr>
    <a:gradFill flip="none" rotWithShape="1">
      <a:gsLst>
        <a:gs pos="0">
          <a:schemeClr val="lt1"/>
        </a:gs>
        <a:gs pos="100000">
          <a:sysClr val="window" lastClr="FFFFFF"/>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2000" b="1">
                <a:solidFill>
                  <a:schemeClr val="tx1"/>
                </a:solidFill>
                <a:uFillTx/>
                <a:latin typeface="微软雅黑" panose="020B0503020204020204" pitchFamily="2" charset="-122"/>
                <a:ea typeface="微软雅黑" panose="020B0503020204020204" pitchFamily="2" charset="-122"/>
              </a:rPr>
              <a:t>发放贷款增幅情况</a:t>
            </a:r>
            <a:endParaRPr sz="2000" b="1">
              <a:solidFill>
                <a:schemeClr val="tx1"/>
              </a:solidFill>
              <a:uFillTx/>
              <a:latin typeface="微软雅黑" panose="020B0503020204020204" pitchFamily="2" charset="-122"/>
              <a:ea typeface="微软雅黑" panose="020B0503020204020204" pitchFamily="2" charset="-122"/>
            </a:endParaRPr>
          </a:p>
        </c:rich>
      </c:tx>
      <c:layout/>
      <c:overlay val="0"/>
      <c:spPr>
        <a:noFill/>
        <a:ln>
          <a:noFill/>
        </a:ln>
        <a:effectLst/>
      </c:spPr>
    </c:title>
    <c:autoTitleDeleted val="0"/>
    <c:plotArea>
      <c:layout/>
      <c:lineChart>
        <c:grouping val="standard"/>
        <c:varyColors val="0"/>
        <c:ser>
          <c:idx val="0"/>
          <c:order val="0"/>
          <c:tx>
            <c:strRef>
              <c:f>[数据.xlsx]创业担保贷!$A$38</c:f>
              <c:strCache>
                <c:ptCount val="1"/>
                <c:pt idx="0">
                  <c:v>        增幅（%）</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chemeClr val="tx1">
                        <a:lumMod val="85000"/>
                        <a:lumOff val="15000"/>
                      </a:schemeClr>
                    </a:solidFill>
                    <a:uFill>
                      <a:solidFill>
                        <a:schemeClr val="tx1">
                          <a:lumMod val="75000"/>
                          <a:lumOff val="25000"/>
                        </a:schemeClr>
                      </a:solidFill>
                    </a:u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[数据.xlsx]创业担保贷!$B$37:$E$37</c:f>
              <c:strCache>
                <c:ptCount val="4"/>
                <c:pt idx="0">
                  <c:v>2019年</c:v>
                </c:pt>
                <c:pt idx="1">
                  <c:v>2020年</c:v>
                </c:pt>
                <c:pt idx="2">
                  <c:v>2021年</c:v>
                </c:pt>
                <c:pt idx="3">
                  <c:v>2022年</c:v>
                </c:pt>
              </c:strCache>
            </c:strRef>
          </c:cat>
          <c:val>
            <c:numRef>
              <c:f>[数据.xlsx]创业担保贷!$B$38:$E$38</c:f>
              <c:numCache>
                <c:formatCode>General</c:formatCode>
                <c:ptCount val="4"/>
                <c:pt idx="0">
                  <c:v>0</c:v>
                </c:pt>
                <c:pt idx="1" c:formatCode="0%">
                  <c:v>2.55446153846154</c:v>
                </c:pt>
                <c:pt idx="2" c:formatCode="0%">
                  <c:v>0.608379501385042</c:v>
                </c:pt>
                <c:pt idx="3" c:formatCode="0%">
                  <c:v>0.623035522066738</c:v>
                </c:pt>
              </c:numCache>
            </c:numRef>
          </c:val>
          <c:smooth val="0"/>
        </c:ser>
        <c:dLbls>
          <c:showLegendKey val="0"/>
          <c:showVal val="1"/>
          <c:showCatName val="0"/>
          <c:showSerName val="0"/>
          <c:showPercent val="0"/>
          <c:showBubbleSize val="0"/>
        </c:dLbls>
        <c:marker val="0"/>
        <c:smooth val="0"/>
        <c:axId val="259250668"/>
        <c:axId val="233314578"/>
      </c:lineChart>
      <c:catAx>
        <c:axId val="2592506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314578"/>
        <c:crosses val="autoZero"/>
        <c:auto val="1"/>
        <c:lblAlgn val="ctr"/>
        <c:lblOffset val="100"/>
        <c:noMultiLvlLbl val="0"/>
      </c:catAx>
      <c:valAx>
        <c:axId val="2333145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200" b="0" i="0" u="none" strike="noStrike" kern="1200" cap="none" spc="0" normalizeH="0" baseline="0">
                <a:solidFill>
                  <a:schemeClr val="tx1">
                    <a:lumMod val="85000"/>
                    <a:lumOff val="15000"/>
                  </a:schemeClr>
                </a:solidFill>
                <a:uFill>
                  <a:solidFill>
                    <a:schemeClr val="tx1">
                      <a:lumMod val="65000"/>
                      <a:lumOff val="35000"/>
                    </a:schemeClr>
                  </a:solidFill>
                </a:uFill>
                <a:latin typeface="+mn-lt"/>
                <a:ea typeface="+mn-ea"/>
                <a:cs typeface="+mn-cs"/>
              </a:defRPr>
            </a:pPr>
          </a:p>
        </c:txPr>
        <c:crossAx val="2592506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200" b="0" i="0" u="none" strike="noStrike" kern="1200" cap="none" spc="0" normalizeH="0" baseline="0">
                <a:solidFill>
                  <a:schemeClr val="tx1">
                    <a:lumMod val="85000"/>
                    <a:lumOff val="15000"/>
                  </a:schemeClr>
                </a:solidFill>
                <a:uFill>
                  <a:solidFill>
                    <a:schemeClr val="tx1">
                      <a:lumMod val="65000"/>
                      <a:lumOff val="35000"/>
                    </a:schemeClr>
                  </a:solidFill>
                </a:uFill>
                <a:latin typeface="+mn-lt"/>
                <a:ea typeface="微软雅黑" panose="020B0503020204020204" pitchFamily="2" charset="-122"/>
                <a:cs typeface="+mn-cs"/>
              </a:defRPr>
            </a:pPr>
          </a:p>
        </c:txPr>
      </c:dTable>
      <c:spPr>
        <a:noFill/>
        <a:ln>
          <a:solidFill>
            <a:schemeClr val="bg1">
              <a:lumMod val="7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1" i="0" u="none" strike="noStrike" kern="1200" baseline="0">
                <a:solidFill>
                  <a:schemeClr val="dk1">
                    <a:lumMod val="75000"/>
                    <a:lumOff val="25000"/>
                  </a:schemeClr>
                </a:solidFill>
                <a:latin typeface="+mn-lt"/>
                <a:ea typeface="+mn-ea"/>
                <a:cs typeface="+mn-cs"/>
              </a:defRPr>
            </a:pPr>
            <a:r>
              <a:rPr sz="2000">
                <a:solidFill>
                  <a:schemeClr val="tx1"/>
                </a:solidFill>
                <a:uFillTx/>
                <a:ea typeface="微软雅黑" panose="020B0503020204020204" pitchFamily="2" charset="-122"/>
              </a:rPr>
              <a:t>发放贷款项目经营情况统计</a:t>
            </a:r>
            <a:endParaRPr sz="2000">
              <a:solidFill>
                <a:schemeClr val="tx1"/>
              </a:solidFill>
              <a:uFillTx/>
              <a:ea typeface="微软雅黑" panose="020B0503020204020204" pitchFamily="2" charset="-122"/>
            </a:endParaRPr>
          </a:p>
        </c:rich>
      </c:tx>
      <c:layout/>
      <c:overlay val="0"/>
      <c:spPr>
        <a:noFill/>
        <a:ln>
          <a:noFill/>
        </a:ln>
        <a:effectLst/>
      </c:spPr>
    </c:title>
    <c:autoTitleDeleted val="0"/>
    <c:plotArea>
      <c:layout/>
      <c:pieChart>
        <c:varyColors val="1"/>
        <c:ser>
          <c:idx val="0"/>
          <c:order val="0"/>
          <c:spPr>
            <a:solidFill>
              <a:srgbClr val="5B9BD5">
                <a:lumMod val="75000"/>
              </a:srgbClr>
            </a:solidFill>
          </c:spPr>
          <c:explosion val="0"/>
          <c:dPt>
            <c:idx val="0"/>
            <c:bubble3D val="0"/>
            <c:spPr>
              <a:solidFill>
                <a:srgbClr val="5B9BD5">
                  <a:lumMod val="75000"/>
                </a:srgbClr>
              </a:solidFill>
              <a:ln>
                <a:noFill/>
              </a:ln>
              <a:effectLst>
                <a:outerShdw blurRad="254000" sx="102000" sy="102000" algn="ctr" rotWithShape="0">
                  <a:prstClr val="black">
                    <a:alpha val="20000"/>
                  </a:prstClr>
                </a:outerShdw>
              </a:effectLst>
            </c:spPr>
          </c:dPt>
          <c:dPt>
            <c:idx val="1"/>
            <c:bubble3D val="0"/>
            <c:spPr>
              <a:solidFill>
                <a:srgbClr val="ED7D31"/>
              </a:solidFill>
              <a:ln>
                <a:noFill/>
              </a:ln>
              <a:effectLst>
                <a:outerShdw blurRad="254000" sx="102000" sy="102000" algn="ctr" rotWithShape="0">
                  <a:prstClr val="black">
                    <a:alpha val="20000"/>
                  </a:prstClr>
                </a:outerShdw>
              </a:effectLst>
            </c:spPr>
          </c:dPt>
          <c:dLbls>
            <c:dLbl>
              <c:idx val="0"/>
              <c:layout>
                <c:manualLayout>
                  <c:x val="0.0820774969737652"/>
                  <c:y val="-0.44924812030152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66432667284861"/>
                  <c:y val="0.489164876475541"/>
                </c:manualLayout>
              </c:layout>
              <c:numFmt formatCode="General" sourceLinked="1"/>
              <c:spPr>
                <a:solidFill>
                  <a:srgbClr val="ED7D31"/>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ysClr val="windowText" lastClr="000000"/>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[数据.xlsx]创业担保贷!$B$60:$C$60</c:f>
              <c:strCache>
                <c:ptCount val="2"/>
                <c:pt idx="0">
                  <c:v>正常经营</c:v>
                </c:pt>
                <c:pt idx="1">
                  <c:v>经营失败、停业</c:v>
                </c:pt>
              </c:strCache>
            </c:strRef>
          </c:cat>
          <c:val>
            <c:numRef>
              <c:f>[数据.xlsx]创业担保贷!$B$61:$C$61</c:f>
              <c:numCache>
                <c:formatCode>0%</c:formatCode>
                <c:ptCount val="2"/>
                <c:pt idx="0">
                  <c:v>1</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cap="none" spc="0" normalizeH="0" baseline="0">
                <a:solidFill>
                  <a:schemeClr val="tx1"/>
                </a:solidFill>
                <a:uFill>
                  <a:solidFill>
                    <a:schemeClr val="tx1">
                      <a:lumMod val="75000"/>
                      <a:lumOff val="25000"/>
                    </a:schemeClr>
                  </a:solidFill>
                </a:uFill>
                <a:latin typeface="+mn-lt"/>
                <a:ea typeface="微软雅黑" panose="020B0503020204020204" pitchFamily="2" charset="-122"/>
                <a:cs typeface="+mn-cs"/>
              </a:defRPr>
            </a:pPr>
          </a:p>
        </c:txPr>
      </c:legendEntry>
      <c:legendEntry>
        <c:idx val="1"/>
        <c:txPr>
          <a:bodyPr rot="0" spcFirstLastPara="0" vertOverflow="ellipsis" vert="horz" wrap="square" anchor="ctr" anchorCtr="1"/>
          <a:lstStyle/>
          <a:p>
            <a:pPr>
              <a:defRPr lang="zh-CN" sz="1400" b="0" i="0" u="none" strike="noStrike" kern="1200" cap="none" spc="0" normalizeH="0" baseline="0">
                <a:solidFill>
                  <a:schemeClr val="tx1"/>
                </a:solidFill>
                <a:uFill>
                  <a:solidFill>
                    <a:schemeClr val="tx1">
                      <a:lumMod val="75000"/>
                      <a:lumOff val="25000"/>
                    </a:schemeClr>
                  </a:solidFill>
                </a:uFill>
                <a:latin typeface="+mn-lt"/>
                <a:ea typeface="微软雅黑" panose="020B0503020204020204" pitchFamily="2" charset="-122"/>
                <a:cs typeface="+mn-cs"/>
              </a:defRPr>
            </a:pPr>
          </a:p>
        </c:txPr>
      </c:legendEntry>
      <c:layout>
        <c:manualLayout>
          <c:xMode val="edge"/>
          <c:yMode val="edge"/>
          <c:x val="0.598770639990358"/>
          <c:y val="0.323308270676695"/>
          <c:w val="0.304808967096547"/>
          <c:h val="0.460794844253491"/>
        </c:manualLayout>
      </c:layout>
      <c:overlay val="0"/>
      <c:spPr>
        <a:solidFill>
          <a:sysClr val="window" lastClr="FFFFFF">
            <a:alpha val="0"/>
          </a:sysClr>
        </a:solidFill>
        <a:ln>
          <a:noFill/>
        </a:ln>
        <a:effectLst/>
      </c:spPr>
      <c:txPr>
        <a:bodyPr rot="0" spcFirstLastPara="0" vertOverflow="ellipsis" vert="horz" wrap="square" anchor="ctr" anchorCtr="1" forceAA="0"/>
        <a:lstStyle/>
        <a:p>
          <a:pPr>
            <a:defRPr lang="zh-CN" sz="1400" b="0" i="0" u="none" strike="noStrike" kern="1200" cap="none" spc="0" normalizeH="0" baseline="0">
              <a:solidFill>
                <a:schemeClr val="tx1"/>
              </a:solidFill>
              <a:uFill>
                <a:solidFill>
                  <a:schemeClr val="tx1">
                    <a:lumMod val="75000"/>
                    <a:lumOff val="25000"/>
                  </a:schemeClr>
                </a:solidFill>
              </a:uFill>
              <a:latin typeface="+mn-lt"/>
              <a:ea typeface="微软雅黑" panose="020B0503020204020204" pitchFamily="2" charset="-122"/>
              <a:cs typeface="+mn-cs"/>
            </a:defRPr>
          </a:pPr>
        </a:p>
      </c:txPr>
    </c:legend>
    <c:plotVisOnly val="1"/>
    <c:dispBlanksAs val="zero"/>
    <c:showDLblsOverMax val="0"/>
  </c:chart>
  <c:spPr>
    <a:solidFill>
      <a:sysClr val="window" lastClr="FFFFFF"/>
    </a:soli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1" i="0" u="none" strike="noStrike" kern="1200" baseline="0">
                <a:solidFill>
                  <a:schemeClr val="dk1">
                    <a:lumMod val="75000"/>
                    <a:lumOff val="25000"/>
                  </a:schemeClr>
                </a:solidFill>
                <a:latin typeface="+mn-lt"/>
                <a:ea typeface="+mn-ea"/>
                <a:cs typeface="+mn-cs"/>
              </a:defRPr>
            </a:pPr>
            <a:r>
              <a:rPr sz="2000">
                <a:solidFill>
                  <a:schemeClr val="tx1"/>
                </a:solidFill>
                <a:uFillTx/>
                <a:ea typeface="微软雅黑" panose="020B0503020204020204" pitchFamily="2" charset="-122"/>
              </a:rPr>
              <a:t>发放贷款项目经营情况统计</a:t>
            </a:r>
            <a:endParaRPr sz="2000">
              <a:solidFill>
                <a:schemeClr val="tx1"/>
              </a:solidFill>
              <a:uFillTx/>
              <a:ea typeface="微软雅黑" panose="020B0503020204020204" pitchFamily="2" charset="-122"/>
            </a:endParaRPr>
          </a:p>
        </c:rich>
      </c:tx>
      <c:layout/>
      <c:overlay val="0"/>
      <c:spPr>
        <a:noFill/>
        <a:ln>
          <a:noFill/>
        </a:ln>
        <a:effectLst/>
      </c:spPr>
    </c:title>
    <c:autoTitleDeleted val="0"/>
    <c:plotArea>
      <c:layout/>
      <c:pieChart>
        <c:varyColors val="1"/>
        <c:ser>
          <c:idx val="0"/>
          <c:order val="0"/>
          <c:spPr>
            <a:solidFill>
              <a:srgbClr val="5B9BD5">
                <a:lumMod val="75000"/>
              </a:srgbClr>
            </a:solidFill>
          </c:spPr>
          <c:explosion val="0"/>
          <c:dPt>
            <c:idx val="0"/>
            <c:bubble3D val="0"/>
            <c:spPr>
              <a:solidFill>
                <a:srgbClr val="5B9BD5">
                  <a:lumMod val="75000"/>
                </a:srgbClr>
              </a:solidFill>
              <a:ln>
                <a:noFill/>
              </a:ln>
              <a:effectLst>
                <a:outerShdw blurRad="254000" sx="102000" sy="102000" algn="ctr" rotWithShape="0">
                  <a:prstClr val="black">
                    <a:alpha val="20000"/>
                  </a:prstClr>
                </a:outerShdw>
              </a:effectLst>
            </c:spPr>
          </c:dPt>
          <c:dPt>
            <c:idx val="1"/>
            <c:bubble3D val="0"/>
            <c:spPr>
              <a:solidFill>
                <a:srgbClr val="ED7D31"/>
              </a:solidFill>
              <a:ln>
                <a:noFill/>
              </a:ln>
              <a:effectLst>
                <a:outerShdw blurRad="254000" sx="102000" sy="102000" algn="ctr" rotWithShape="0">
                  <a:prstClr val="black">
                    <a:alpha val="20000"/>
                  </a:prstClr>
                </a:outerShdw>
              </a:effectLst>
            </c:spPr>
          </c:dPt>
          <c:dLbls>
            <c:dLbl>
              <c:idx val="1"/>
              <c:layout/>
              <c:numFmt formatCode="General" sourceLinked="1"/>
              <c:spPr>
                <a:solidFill>
                  <a:srgbClr val="ED7D31"/>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extLst>
            </c:dLbl>
            <c:spPr>
              <a:solidFill>
                <a:sysClr val="windowText" lastClr="000000"/>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[数据.xlsx]创业担保贷!$B$60:$C$60</c:f>
              <c:strCache>
                <c:ptCount val="2"/>
                <c:pt idx="0">
                  <c:v>正常经营</c:v>
                </c:pt>
                <c:pt idx="1">
                  <c:v>经营失败、停业</c:v>
                </c:pt>
              </c:strCache>
            </c:strRef>
          </c:cat>
          <c:val>
            <c:numRef>
              <c:f>[数据.xlsx]创业担保贷!$B$61:$C$61</c:f>
              <c:numCache>
                <c:formatCode>0%</c:formatCode>
                <c:ptCount val="2"/>
                <c:pt idx="0">
                  <c:v>1</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cap="none" spc="0" normalizeH="0" baseline="0">
                <a:solidFill>
                  <a:schemeClr val="tx1"/>
                </a:solidFill>
                <a:uFill>
                  <a:solidFill>
                    <a:schemeClr val="tx1">
                      <a:lumMod val="75000"/>
                      <a:lumOff val="25000"/>
                    </a:schemeClr>
                  </a:solidFill>
                </a:uFill>
                <a:latin typeface="+mn-lt"/>
                <a:ea typeface="微软雅黑" panose="020B0503020204020204" pitchFamily="2" charset="-122"/>
                <a:cs typeface="+mn-cs"/>
              </a:defRPr>
            </a:pPr>
          </a:p>
        </c:txPr>
      </c:legendEntry>
      <c:legendEntry>
        <c:idx val="1"/>
        <c:txPr>
          <a:bodyPr rot="0" spcFirstLastPara="0" vertOverflow="ellipsis" vert="horz" wrap="square" anchor="ctr" anchorCtr="1"/>
          <a:lstStyle/>
          <a:p>
            <a:pPr>
              <a:defRPr lang="zh-CN" sz="1400" b="0" i="0" u="none" strike="noStrike" kern="1200" cap="none" spc="0" normalizeH="0" baseline="0">
                <a:solidFill>
                  <a:schemeClr val="tx1"/>
                </a:solidFill>
                <a:uFill>
                  <a:solidFill>
                    <a:schemeClr val="tx1">
                      <a:lumMod val="75000"/>
                      <a:lumOff val="25000"/>
                    </a:schemeClr>
                  </a:solidFill>
                </a:uFill>
                <a:latin typeface="+mn-lt"/>
                <a:ea typeface="微软雅黑" panose="020B0503020204020204" pitchFamily="2" charset="-122"/>
                <a:cs typeface="+mn-cs"/>
              </a:defRPr>
            </a:pPr>
          </a:p>
        </c:txPr>
      </c:legendEntry>
      <c:layout>
        <c:manualLayout>
          <c:xMode val="edge"/>
          <c:yMode val="edge"/>
          <c:x val="0.59875"/>
          <c:y val="0.323291529234153"/>
          <c:w val="0.247083333333334"/>
          <c:h val="0.460879629629631"/>
        </c:manualLayout>
      </c:layout>
      <c:overlay val="0"/>
      <c:spPr>
        <a:solidFill>
          <a:sysClr val="window" lastClr="FFFFFF">
            <a:alpha val="0"/>
          </a:sysClr>
        </a:solidFill>
        <a:ln>
          <a:noFill/>
        </a:ln>
        <a:effectLst/>
      </c:spPr>
      <c:txPr>
        <a:bodyPr rot="0" spcFirstLastPara="0" vertOverflow="ellipsis" vert="horz" wrap="square" anchor="ctr" anchorCtr="1" forceAA="0"/>
        <a:lstStyle/>
        <a:p>
          <a:pPr>
            <a:defRPr lang="zh-CN" sz="1400" b="0" i="0" u="none" strike="noStrike" kern="1200" cap="none" spc="0" normalizeH="0" baseline="0">
              <a:solidFill>
                <a:schemeClr val="tx1"/>
              </a:solidFill>
              <a:uFill>
                <a:solidFill>
                  <a:schemeClr val="tx1">
                    <a:lumMod val="75000"/>
                    <a:lumOff val="25000"/>
                  </a:schemeClr>
                </a:solidFill>
              </a:uFill>
              <a:latin typeface="+mn-lt"/>
              <a:ea typeface="微软雅黑" panose="020B0503020204020204" pitchFamily="2" charset="-122"/>
              <a:cs typeface="+mn-cs"/>
            </a:defRPr>
          </a:pPr>
        </a:p>
      </c:txPr>
    </c:legend>
    <c:plotVisOnly val="1"/>
    <c:dispBlanksAs val="zero"/>
    <c:showDLblsOverMax val="0"/>
  </c:chart>
  <c:spPr>
    <a:solidFill>
      <a:sysClr val="window" lastClr="FFFFFF"/>
    </a:soli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2000" b="1">
                <a:solidFill>
                  <a:schemeClr val="tx1">
                    <a:lumMod val="85000"/>
                    <a:lumOff val="15000"/>
                  </a:schemeClr>
                </a:solidFill>
                <a:uFillTx/>
              </a:rPr>
              <a:t>带动稳岗就业情况</a:t>
            </a:r>
            <a:endParaRPr sz="2000" b="1">
              <a:solidFill>
                <a:schemeClr val="tx1">
                  <a:lumMod val="85000"/>
                  <a:lumOff val="15000"/>
                </a:schemeClr>
              </a:solidFill>
              <a:uFillTx/>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8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ctr"/>
            <c:showLegendKey val="0"/>
            <c:showVal val="0"/>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[数据.xlsx]扶持对象分布!$A$30:$A$33</c:f>
              <c:strCache>
                <c:ptCount val="4"/>
                <c:pt idx="0">
                  <c:v>失业下岗人员</c:v>
                </c:pt>
                <c:pt idx="1">
                  <c:v>应往届高校毕业生</c:v>
                </c:pt>
                <c:pt idx="2">
                  <c:v>失地农民和返乡创业农民</c:v>
                </c:pt>
                <c:pt idx="3">
                  <c:v>其他从业人员</c:v>
                </c:pt>
              </c:strCache>
            </c:strRef>
          </c:cat>
          <c:val>
            <c:numRef>
              <c:f>[数据.xlsx]扶持对象分布!$B$30:$B$33</c:f>
              <c:numCache>
                <c:formatCode>General</c:formatCode>
                <c:ptCount val="4"/>
                <c:pt idx="0">
                  <c:v>3399</c:v>
                </c:pt>
                <c:pt idx="1">
                  <c:v>1600</c:v>
                </c:pt>
                <c:pt idx="2">
                  <c:v>1256</c:v>
                </c:pt>
                <c:pt idx="3">
                  <c:v>1362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manualLayout>
          <c:xMode val="edge"/>
          <c:yMode val="edge"/>
          <c:x val="0.553541369933964"/>
          <c:y val="0.256001794929325"/>
          <c:w val="0.414994173248738"/>
          <c:h val="0.63652681175678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600" b="1">
                <a:solidFill>
                  <a:schemeClr val="tx1"/>
                </a:solidFill>
                <a:uFillTx/>
                <a:ea typeface="微软雅黑" panose="020B0503020204020204" pitchFamily="2" charset="-122"/>
              </a:rPr>
              <a:t>2019-2021</a:t>
            </a:r>
            <a:r>
              <a:rPr altLang="en-US" sz="1600" b="1">
                <a:solidFill>
                  <a:schemeClr val="tx1"/>
                </a:solidFill>
                <a:uFillTx/>
                <a:ea typeface="微软雅黑" panose="020B0503020204020204" pitchFamily="2" charset="-122"/>
              </a:rPr>
              <a:t>年</a:t>
            </a:r>
            <a:r>
              <a:rPr sz="1600" b="1">
                <a:solidFill>
                  <a:schemeClr val="tx1"/>
                </a:solidFill>
                <a:uFillTx/>
                <a:ea typeface="微软雅黑" panose="020B0503020204020204" pitchFamily="2" charset="-122"/>
              </a:rPr>
              <a:t>创业担保贷款行业分布情况</a:t>
            </a:r>
            <a:endParaRPr sz="1600" b="1">
              <a:solidFill>
                <a:schemeClr val="tx1"/>
              </a:solidFill>
              <a:uFillTx/>
              <a:ea typeface="微软雅黑" panose="020B0503020204020204" pitchFamily="2" charset="-122"/>
            </a:endParaRPr>
          </a:p>
        </c:rich>
      </c:tx>
      <c:layout>
        <c:manualLayout>
          <c:xMode val="edge"/>
          <c:yMode val="edge"/>
          <c:x val="0.318398035906092"/>
          <c:y val="0.0110714725058433"/>
        </c:manualLayout>
      </c:layout>
      <c:overlay val="0"/>
      <c:spPr>
        <a:noFill/>
        <a:ln>
          <a:noFill/>
        </a:ln>
        <a:effectLst/>
      </c:spPr>
    </c:title>
    <c:autoTitleDeleted val="0"/>
    <c:plotArea>
      <c:layout/>
      <c:barChart>
        <c:barDir val="col"/>
        <c:grouping val="clustered"/>
        <c:varyColors val="0"/>
        <c:ser>
          <c:idx val="0"/>
          <c:order val="0"/>
          <c:tx>
            <c:strRef>
              <c:f>[数据.xlsx]创业担保贷!$A$88</c:f>
              <c:strCache>
                <c:ptCount val="1"/>
                <c:pt idx="0">
                  <c:v>第一产业</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[数据.xlsx]创业担保贷!$B$87:$E$87</c:f>
              <c:strCache>
                <c:ptCount val="4"/>
                <c:pt idx="0">
                  <c:v>2019年</c:v>
                </c:pt>
                <c:pt idx="1">
                  <c:v>2020年</c:v>
                </c:pt>
                <c:pt idx="2">
                  <c:v>2021年</c:v>
                </c:pt>
                <c:pt idx="3">
                  <c:v>2022年</c:v>
                </c:pt>
              </c:strCache>
            </c:strRef>
          </c:cat>
          <c:val>
            <c:numRef>
              <c:f>[数据.xlsx]创业担保贷!$B$88:$E$88</c:f>
              <c:numCache>
                <c:formatCode>General</c:formatCode>
                <c:ptCount val="4"/>
                <c:pt idx="0">
                  <c:v>0</c:v>
                </c:pt>
                <c:pt idx="1">
                  <c:v>1</c:v>
                </c:pt>
                <c:pt idx="2">
                  <c:v>5</c:v>
                </c:pt>
                <c:pt idx="3">
                  <c:v>11</c:v>
                </c:pt>
              </c:numCache>
            </c:numRef>
          </c:val>
        </c:ser>
        <c:ser>
          <c:idx val="1"/>
          <c:order val="1"/>
          <c:tx>
            <c:strRef>
              <c:f>[数据.xlsx]创业担保贷!$A$89</c:f>
              <c:strCache>
                <c:ptCount val="1"/>
                <c:pt idx="0">
                  <c:v>第二产业</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[数据.xlsx]创业担保贷!$B$87:$E$87</c:f>
              <c:strCache>
                <c:ptCount val="4"/>
                <c:pt idx="0">
                  <c:v>2019年</c:v>
                </c:pt>
                <c:pt idx="1">
                  <c:v>2020年</c:v>
                </c:pt>
                <c:pt idx="2">
                  <c:v>2021年</c:v>
                </c:pt>
                <c:pt idx="3">
                  <c:v>2022年</c:v>
                </c:pt>
              </c:strCache>
            </c:strRef>
          </c:cat>
          <c:val>
            <c:numRef>
              <c:f>[数据.xlsx]创业担保贷!$B$89:$E$89</c:f>
              <c:numCache>
                <c:formatCode>General</c:formatCode>
                <c:ptCount val="4"/>
                <c:pt idx="0">
                  <c:v>12</c:v>
                </c:pt>
                <c:pt idx="1">
                  <c:v>19</c:v>
                </c:pt>
                <c:pt idx="2">
                  <c:v>22</c:v>
                </c:pt>
                <c:pt idx="3">
                  <c:v>89</c:v>
                </c:pt>
              </c:numCache>
            </c:numRef>
          </c:val>
        </c:ser>
        <c:ser>
          <c:idx val="2"/>
          <c:order val="2"/>
          <c:tx>
            <c:strRef>
              <c:f>[数据.xlsx]创业担保贷!$A$90</c:f>
              <c:strCache>
                <c:ptCount val="1"/>
                <c:pt idx="0">
                  <c:v>第三产业</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[数据.xlsx]创业担保贷!$B$87:$E$87</c:f>
              <c:strCache>
                <c:ptCount val="4"/>
                <c:pt idx="0">
                  <c:v>2019年</c:v>
                </c:pt>
                <c:pt idx="1">
                  <c:v>2020年</c:v>
                </c:pt>
                <c:pt idx="2">
                  <c:v>2021年</c:v>
                </c:pt>
                <c:pt idx="3">
                  <c:v>2022年</c:v>
                </c:pt>
              </c:strCache>
            </c:strRef>
          </c:cat>
          <c:val>
            <c:numRef>
              <c:f>[数据.xlsx]创业担保贷!$B$90:$E$90</c:f>
              <c:numCache>
                <c:formatCode>General</c:formatCode>
                <c:ptCount val="4"/>
                <c:pt idx="0">
                  <c:v>28</c:v>
                </c:pt>
                <c:pt idx="1">
                  <c:v>97</c:v>
                </c:pt>
                <c:pt idx="2">
                  <c:v>156</c:v>
                </c:pt>
                <c:pt idx="3">
                  <c:v>208</c:v>
                </c:pt>
              </c:numCache>
            </c:numRef>
          </c:val>
        </c:ser>
        <c:ser>
          <c:idx val="3"/>
          <c:order val="3"/>
          <c:tx>
            <c:strRef>
              <c:f>[数据.xlsx]创业担保贷!$A$91</c:f>
              <c:strCache>
                <c:ptCount val="1"/>
                <c:pt idx="0">
                  <c:v>第四新型产业</c:v>
                </c:pt>
              </c:strCache>
            </c:strRef>
          </c:tx>
          <c:spPr>
            <a:solidFill>
              <a:schemeClr val="accent4"/>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[数据.xlsx]创业担保贷!$B$87:$E$87</c:f>
              <c:strCache>
                <c:ptCount val="4"/>
                <c:pt idx="0">
                  <c:v>2019年</c:v>
                </c:pt>
                <c:pt idx="1">
                  <c:v>2020年</c:v>
                </c:pt>
                <c:pt idx="2">
                  <c:v>2021年</c:v>
                </c:pt>
                <c:pt idx="3">
                  <c:v>2022年</c:v>
                </c:pt>
              </c:strCache>
            </c:strRef>
          </c:cat>
          <c:val>
            <c:numRef>
              <c:f>[数据.xlsx]创业担保贷!$B$91:$E$91</c:f>
              <c:numCache>
                <c:formatCode>General</c:formatCode>
                <c:ptCount val="4"/>
                <c:pt idx="0">
                  <c:v>1</c:v>
                </c:pt>
                <c:pt idx="1">
                  <c:v>12</c:v>
                </c:pt>
                <c:pt idx="2">
                  <c:v>3</c:v>
                </c:pt>
                <c:pt idx="3">
                  <c:v>8</c:v>
                </c:pt>
              </c:numCache>
            </c:numRef>
          </c:val>
        </c:ser>
        <c:dLbls>
          <c:showLegendKey val="0"/>
          <c:showVal val="1"/>
          <c:showCatName val="0"/>
          <c:showSerName val="0"/>
          <c:showPercent val="0"/>
          <c:showBubbleSize val="0"/>
        </c:dLbls>
        <c:gapWidth val="219"/>
        <c:overlap val="-27"/>
        <c:axId val="723979437"/>
        <c:axId val="676285398"/>
      </c:barChart>
      <c:catAx>
        <c:axId val="72397943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6285398"/>
        <c:crosses val="autoZero"/>
        <c:auto val="1"/>
        <c:lblAlgn val="ctr"/>
        <c:lblOffset val="100"/>
        <c:noMultiLvlLbl val="0"/>
      </c:catAx>
      <c:valAx>
        <c:axId val="676285398"/>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sz="1400" b="1">
                    <a:solidFill>
                      <a:schemeClr val="tx1"/>
                    </a:solidFill>
                    <a:uFillTx/>
                    <a:latin typeface="微软雅黑" panose="020B0503020204020204" pitchFamily="2" charset="-122"/>
                    <a:ea typeface="微软雅黑" panose="020B0503020204020204" pitchFamily="2" charset="-122"/>
                  </a:rPr>
                  <a:t>单位：家</a:t>
                </a:r>
                <a:endParaRPr sz="1400" b="1">
                  <a:solidFill>
                    <a:schemeClr val="tx1"/>
                  </a:solidFill>
                  <a:uFillTx/>
                  <a:latin typeface="微软雅黑" panose="020B0503020204020204" pitchFamily="2" charset="-122"/>
                  <a:ea typeface="微软雅黑" panose="020B0503020204020204" pitchFamily="2" charset="-122"/>
                </a:endParaRPr>
              </a:p>
            </c:rich>
          </c:tx>
          <c:layout>
            <c:manualLayout>
              <c:xMode val="edge"/>
              <c:yMode val="edge"/>
              <c:x val="0.0486204487689352"/>
              <c:y val="0.329386528363177"/>
            </c:manualLayout>
          </c:layout>
          <c:overlay val="0"/>
          <c:spPr>
            <a:noFill/>
            <a:ln>
              <a:noFill/>
            </a:ln>
            <a:effectLst/>
          </c:spPr>
        </c:title>
        <c:numFmt formatCode="General" sourceLinked="1"/>
        <c:majorTickMark val="out"/>
        <c:minorTickMark val="none"/>
        <c:tickLblPos val="nextTo"/>
        <c:spPr>
          <a:solidFill>
            <a:schemeClr val="bg1"/>
          </a:solidFill>
          <a:ln w="12700" cmpd="sng">
            <a:solidFill>
              <a:schemeClr val="tx1"/>
            </a:solidFill>
            <a:prstDash val="soli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979437"/>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微软雅黑" panose="020B0503020204020204" pitchFamily="2" charset="-122"/>
                <a:cs typeface="+mn-cs"/>
              </a:defRPr>
            </a:pPr>
          </a:p>
        </c:txPr>
      </c:dTable>
      <c:spPr>
        <a:noFill/>
        <a:ln w="12700" cmpd="sng">
          <a:noFill/>
          <a:prstDash val="solid"/>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4CA386-6673-4BEA-A1CD-1B04CBAF8F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3183</Words>
  <Characters>3423</Characters>
  <Lines>21</Lines>
  <Paragraphs>5</Paragraphs>
  <TotalTime>55</TotalTime>
  <ScaleCrop>false</ScaleCrop>
  <LinksUpToDate>false</LinksUpToDate>
  <CharactersWithSpaces>3429</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2021-10-19T07:27:00Z</dcterms:created>
  <dc:creator>User</dc:creator>
  <cp:lastModifiedBy>HP</cp:lastModifiedBy>
  <dcterms:modified xsi:type="dcterms:W3CDTF">2023-02-08T08:31:53Z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E13BF3BC51C94BCF816F041AC6437509</vt:lpwstr>
  </property>
</Properties>
</file>